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right" w:pos="9639"/>
        </w:tabs>
        <w:kinsoku/>
        <w:wordWrap/>
        <w:topLinePunct w:val="0"/>
        <w:bidi w:val="0"/>
        <w:snapToGrid/>
        <w:spacing w:after="0" w:line="240" w:lineRule="auto"/>
        <w:jc w:val="left"/>
        <w:rPr>
          <w:rFonts w:hint="eastAsia" w:ascii="Arial" w:hAnsi="Arial" w:eastAsia="Times New Roman"/>
          <w:b/>
          <w:bCs/>
          <w:i/>
          <w:sz w:val="24"/>
          <w:szCs w:val="24"/>
          <w:lang w:val="en-GB" w:eastAsia="en-US"/>
        </w:rPr>
      </w:pPr>
      <w:r>
        <w:rPr>
          <w:rFonts w:ascii="Arial" w:hAnsi="Arial" w:eastAsia="Times New Roman" w:cs="Arial"/>
          <w:b/>
          <w:bCs/>
          <w:sz w:val="24"/>
          <w:szCs w:val="24"/>
          <w:lang w:val="en-GB" w:eastAsia="en-US"/>
        </w:rPr>
        <w:t xml:space="preserve">3GPP TSG-RAN </w:t>
      </w:r>
      <w:r>
        <w:rPr>
          <w:rFonts w:ascii="Arial" w:hAnsi="Arial" w:eastAsia="Times New Roman" w:cs="Arial"/>
          <w:b/>
          <w:sz w:val="24"/>
          <w:szCs w:val="24"/>
          <w:lang w:val="en-GB" w:eastAsia="en-US"/>
        </w:rPr>
        <w:t>WG2 Meeting #12</w:t>
      </w:r>
      <w:r>
        <w:rPr>
          <w:rFonts w:hint="eastAsia" w:ascii="Arial" w:hAnsi="Arial" w:cs="Arial"/>
          <w:b/>
          <w:sz w:val="24"/>
          <w:szCs w:val="24"/>
          <w:lang w:val="en-US" w:eastAsia="zh-CN"/>
        </w:rPr>
        <w:t>7</w:t>
      </w:r>
      <w:r>
        <w:rPr>
          <w:rFonts w:ascii="Arial" w:hAnsi="Arial" w:eastAsia="Times New Roman"/>
          <w:b/>
          <w:bCs/>
          <w:sz w:val="24"/>
          <w:szCs w:val="24"/>
          <w:lang w:val="en-GB" w:eastAsia="en-US"/>
        </w:rPr>
        <w:tab/>
      </w:r>
      <w:r>
        <w:rPr>
          <w:rFonts w:hint="eastAsia" w:ascii="Arial" w:hAnsi="Arial" w:eastAsia="Times New Roman"/>
          <w:b/>
          <w:bCs/>
          <w:sz w:val="24"/>
          <w:szCs w:val="24"/>
          <w:lang w:val="en-GB" w:eastAsia="en-US"/>
        </w:rPr>
        <w:t>R2-2406900</w:t>
      </w:r>
    </w:p>
    <w:p>
      <w:pPr>
        <w:pStyle w:val="11"/>
        <w:keepNext w:val="0"/>
        <w:keepLines w:val="0"/>
        <w:pageBreakBefore w:val="0"/>
        <w:widowControl w:val="0"/>
        <w:suppressLineNumbers w:val="0"/>
        <w:tabs>
          <w:tab w:val="left" w:pos="1702"/>
          <w:tab w:val="right" w:pos="9923"/>
        </w:tabs>
        <w:kinsoku/>
        <w:wordWrap/>
        <w:topLinePunct w:val="0"/>
        <w:bidi w:val="0"/>
        <w:snapToGrid/>
        <w:spacing w:before="120" w:beforeAutospacing="0" w:after="0" w:afterAutospacing="0" w:line="240" w:lineRule="auto"/>
        <w:ind w:left="0" w:right="0"/>
        <w:jc w:val="left"/>
        <w:rPr>
          <w:lang w:val="de"/>
        </w:rPr>
      </w:pPr>
      <w:r>
        <w:rPr>
          <w:rFonts w:ascii="Arial" w:hAnsi="Arial" w:eastAsia="MS Mincho" w:cs="Times New Roman"/>
          <w:b/>
          <w:bCs w:val="0"/>
          <w:kern w:val="0"/>
          <w:sz w:val="24"/>
          <w:szCs w:val="24"/>
          <w:lang w:val="de" w:eastAsia="zh-CN" w:bidi="ar"/>
        </w:rPr>
        <w:t xml:space="preserve">Maastricht, </w:t>
      </w:r>
      <w:r>
        <w:rPr>
          <w:rFonts w:hint="eastAsia" w:ascii="Arial" w:hAnsi="Arial" w:eastAsia="MS Mincho" w:cs="Times New Roman"/>
          <w:b/>
          <w:bCs w:val="0"/>
          <w:kern w:val="0"/>
          <w:sz w:val="24"/>
          <w:szCs w:val="24"/>
          <w:lang w:val="de" w:eastAsia="zh-CN" w:bidi="ar"/>
        </w:rPr>
        <w:t>Netherlands</w:t>
      </w:r>
      <w:bookmarkStart w:id="17" w:name="_GoBack"/>
      <w:bookmarkEnd w:id="17"/>
      <w:r>
        <w:rPr>
          <w:rFonts w:ascii="Arial" w:hAnsi="Arial" w:eastAsia="MS Mincho" w:cs="Times New Roman"/>
          <w:b/>
          <w:bCs w:val="0"/>
          <w:kern w:val="0"/>
          <w:sz w:val="24"/>
          <w:szCs w:val="24"/>
          <w:lang w:val="de" w:eastAsia="zh-CN" w:bidi="ar"/>
        </w:rPr>
        <w:t>, Aug 19</w:t>
      </w:r>
      <w:r>
        <w:rPr>
          <w:rFonts w:ascii="Arial" w:hAnsi="Arial" w:eastAsia="MS Mincho" w:cs="Times New Roman"/>
          <w:b/>
          <w:bCs w:val="0"/>
          <w:kern w:val="0"/>
          <w:sz w:val="24"/>
          <w:szCs w:val="24"/>
          <w:vertAlign w:val="superscript"/>
          <w:lang w:val="de" w:eastAsia="zh-CN" w:bidi="ar"/>
        </w:rPr>
        <w:t>th</w:t>
      </w:r>
      <w:r>
        <w:rPr>
          <w:rFonts w:ascii="Arial" w:hAnsi="Arial" w:eastAsia="MS Mincho" w:cs="Times New Roman"/>
          <w:b/>
          <w:bCs w:val="0"/>
          <w:kern w:val="0"/>
          <w:sz w:val="24"/>
          <w:szCs w:val="24"/>
          <w:lang w:val="de" w:eastAsia="zh-CN" w:bidi="ar"/>
        </w:rPr>
        <w:t xml:space="preserve"> – 23</w:t>
      </w:r>
      <w:r>
        <w:rPr>
          <w:rFonts w:ascii="Arial" w:hAnsi="Arial" w:eastAsia="MS Mincho" w:cs="Times New Roman"/>
          <w:b/>
          <w:bCs w:val="0"/>
          <w:kern w:val="0"/>
          <w:sz w:val="24"/>
          <w:szCs w:val="24"/>
          <w:vertAlign w:val="superscript"/>
          <w:lang w:val="de" w:eastAsia="zh-CN" w:bidi="ar"/>
        </w:rPr>
        <w:t>rd</w:t>
      </w:r>
      <w:r>
        <w:rPr>
          <w:rFonts w:ascii="Arial" w:hAnsi="Arial" w:eastAsia="MS Mincho" w:cs="Times New Roman"/>
          <w:b/>
          <w:bCs w:val="0"/>
          <w:kern w:val="0"/>
          <w:sz w:val="24"/>
          <w:szCs w:val="24"/>
          <w:lang w:val="de" w:eastAsia="zh-CN" w:bidi="ar"/>
        </w:rPr>
        <w:t>, 2024</w:t>
      </w:r>
    </w:p>
    <w:p>
      <w:pPr>
        <w:widowControl w:val="0"/>
        <w:spacing w:after="0"/>
        <w:jc w:val="left"/>
        <w:rPr>
          <w:rFonts w:hint="eastAsia" w:ascii="Arial" w:hAnsi="Arial" w:eastAsia="Times New Roman"/>
          <w:b/>
          <w:bCs/>
          <w:sz w:val="24"/>
        </w:rPr>
      </w:pPr>
    </w:p>
    <w:p>
      <w:pPr>
        <w:widowControl w:val="0"/>
        <w:spacing w:after="0"/>
        <w:jc w:val="left"/>
        <w:rPr>
          <w:rFonts w:hint="eastAsia" w:ascii="Arial" w:hAnsi="Arial" w:eastAsia="Times New Roman"/>
          <w:b/>
          <w:bCs/>
          <w:sz w:val="24"/>
        </w:rPr>
      </w:pPr>
    </w:p>
    <w:p>
      <w:pPr>
        <w:tabs>
          <w:tab w:val="left" w:pos="1985"/>
        </w:tabs>
        <w:overflowPunct/>
        <w:autoSpaceDE/>
        <w:autoSpaceDN/>
        <w:adjustRightInd/>
        <w:spacing w:after="120" w:line="240" w:lineRule="auto"/>
        <w:jc w:val="left"/>
        <w:textAlignment w:val="auto"/>
        <w:rPr>
          <w:rFonts w:ascii="Arial" w:hAnsi="Arial" w:eastAsia="MS Mincho" w:cs="Arial"/>
          <w:b/>
          <w:bCs/>
          <w:sz w:val="24"/>
          <w:lang w:val="en-GB"/>
        </w:rPr>
      </w:pPr>
      <w:r>
        <w:rPr>
          <w:rFonts w:ascii="Arial" w:hAnsi="Arial" w:eastAsia="MS Mincho" w:cs="Arial"/>
          <w:b/>
          <w:bCs/>
          <w:sz w:val="24"/>
          <w:lang w:val="en-GB" w:eastAsia="en-US"/>
        </w:rPr>
        <w:t>Agenda item:</w:t>
      </w:r>
      <w:r>
        <w:rPr>
          <w:rFonts w:ascii="Arial" w:hAnsi="Arial" w:eastAsia="MS Mincho" w:cs="Arial"/>
          <w:b/>
          <w:bCs/>
          <w:sz w:val="24"/>
          <w:lang w:val="en-GB" w:eastAsia="en-US"/>
        </w:rPr>
        <w:tab/>
      </w:r>
      <w:r>
        <w:rPr>
          <w:rFonts w:ascii="Arial" w:hAnsi="Arial" w:eastAsia="MS Mincho" w:cs="Arial"/>
          <w:b/>
          <w:bCs/>
          <w:sz w:val="24"/>
          <w:lang w:val="en-GB" w:eastAsia="en-US"/>
        </w:rPr>
        <w:t>8.4.2</w:t>
      </w:r>
    </w:p>
    <w:p>
      <w:pPr>
        <w:tabs>
          <w:tab w:val="left" w:pos="1985"/>
        </w:tabs>
        <w:overflowPunct/>
        <w:autoSpaceDE/>
        <w:autoSpaceDN/>
        <w:adjustRightInd/>
        <w:spacing w:line="240" w:lineRule="auto"/>
        <w:ind w:left="1985" w:hanging="1985"/>
        <w:jc w:val="left"/>
        <w:textAlignment w:val="auto"/>
        <w:rPr>
          <w:rFonts w:ascii="Arial" w:hAnsi="Arial" w:eastAsia="Times New Roman" w:cs="Arial"/>
          <w:b/>
          <w:bCs/>
          <w:sz w:val="24"/>
          <w:lang w:val="en-GB" w:eastAsia="en-US"/>
        </w:rPr>
      </w:pPr>
      <w:r>
        <w:rPr>
          <w:rFonts w:ascii="Arial" w:hAnsi="Arial" w:eastAsia="Times New Roman" w:cs="Arial"/>
          <w:b/>
          <w:bCs/>
          <w:sz w:val="24"/>
          <w:lang w:val="en-GB" w:eastAsia="en-US"/>
        </w:rPr>
        <w:t>Source:</w:t>
      </w:r>
      <w:r>
        <w:rPr>
          <w:rFonts w:ascii="Arial" w:hAnsi="Arial" w:eastAsia="Times New Roman" w:cs="Arial"/>
          <w:b/>
          <w:bCs/>
          <w:sz w:val="24"/>
          <w:lang w:val="en-GB" w:eastAsia="en-US"/>
        </w:rPr>
        <w:tab/>
      </w:r>
      <w:r>
        <w:rPr>
          <w:rFonts w:hint="eastAsia" w:ascii="Arial" w:hAnsi="Arial" w:eastAsia="Times New Roman" w:cs="Arial"/>
          <w:b/>
          <w:bCs/>
          <w:sz w:val="24"/>
          <w:lang w:val="en-GB" w:eastAsia="en-US"/>
        </w:rPr>
        <w:t>China Telecom</w:t>
      </w:r>
    </w:p>
    <w:p>
      <w:pPr>
        <w:tabs>
          <w:tab w:val="left" w:pos="1985"/>
        </w:tabs>
        <w:overflowPunct/>
        <w:autoSpaceDE/>
        <w:autoSpaceDN/>
        <w:adjustRightInd/>
        <w:spacing w:line="240" w:lineRule="auto"/>
        <w:ind w:left="1985" w:hanging="1985"/>
        <w:jc w:val="left"/>
        <w:textAlignment w:val="auto"/>
        <w:rPr>
          <w:rFonts w:ascii="Arial" w:hAnsi="Arial" w:eastAsia="Times New Roman" w:cs="Arial"/>
          <w:b/>
          <w:bCs/>
          <w:sz w:val="24"/>
          <w:lang w:val="en-GB" w:eastAsia="en-US"/>
        </w:rPr>
      </w:pPr>
      <w:r>
        <w:rPr>
          <w:rFonts w:ascii="Arial" w:hAnsi="Arial" w:eastAsia="Times New Roman" w:cs="Arial"/>
          <w:b/>
          <w:bCs/>
          <w:sz w:val="24"/>
          <w:lang w:val="en-GB" w:eastAsia="en-US"/>
        </w:rPr>
        <w:t>Title:</w:t>
      </w:r>
      <w:r>
        <w:rPr>
          <w:rFonts w:ascii="Arial" w:hAnsi="Arial" w:eastAsia="Times New Roman" w:cs="Arial"/>
          <w:b/>
          <w:bCs/>
          <w:sz w:val="24"/>
          <w:lang w:val="en-GB" w:eastAsia="en-US"/>
        </w:rPr>
        <w:tab/>
      </w:r>
      <w:r>
        <w:rPr>
          <w:rFonts w:ascii="Arial" w:hAnsi="Arial" w:eastAsia="Times New Roman" w:cs="Arial"/>
          <w:b/>
          <w:bCs/>
          <w:sz w:val="24"/>
          <w:lang w:val="en-GB" w:eastAsia="en-US"/>
        </w:rPr>
        <w:t>LP-WUS</w:t>
      </w:r>
      <w:r>
        <w:rPr>
          <w:rFonts w:hint="eastAsia" w:ascii="Arial" w:hAnsi="Arial" w:eastAsia="宋体" w:cs="Arial"/>
          <w:b/>
          <w:bCs/>
          <w:sz w:val="24"/>
          <w:lang w:val="en-US" w:eastAsia="zh-CN"/>
        </w:rPr>
        <w:t xml:space="preserve"> Operation</w:t>
      </w:r>
      <w:r>
        <w:rPr>
          <w:rFonts w:ascii="Arial" w:hAnsi="Arial" w:eastAsia="Times New Roman" w:cs="Arial"/>
          <w:b/>
          <w:bCs/>
          <w:sz w:val="24"/>
          <w:lang w:val="en-GB" w:eastAsia="en-US"/>
        </w:rPr>
        <w:t xml:space="preserve"> in</w:t>
      </w:r>
      <w:r>
        <w:rPr>
          <w:rFonts w:hint="eastAsia" w:ascii="Arial" w:hAnsi="Arial" w:cs="Arial"/>
          <w:b/>
          <w:bCs/>
          <w:sz w:val="24"/>
          <w:lang w:val="en-US" w:eastAsia="zh-CN"/>
        </w:rPr>
        <w:t xml:space="preserve"> </w:t>
      </w:r>
      <w:r>
        <w:rPr>
          <w:rFonts w:ascii="Arial" w:hAnsi="Arial" w:eastAsia="Times New Roman" w:cs="Arial"/>
          <w:b/>
          <w:bCs/>
          <w:sz w:val="24"/>
          <w:lang w:val="en-GB" w:eastAsia="en-US"/>
        </w:rPr>
        <w:t>RRC_IDLE/INACTIVE</w:t>
      </w:r>
    </w:p>
    <w:p>
      <w:pPr>
        <w:tabs>
          <w:tab w:val="left" w:pos="1985"/>
        </w:tabs>
        <w:overflowPunct/>
        <w:autoSpaceDE/>
        <w:autoSpaceDN/>
        <w:adjustRightInd/>
        <w:spacing w:line="240" w:lineRule="auto"/>
        <w:jc w:val="left"/>
        <w:textAlignment w:val="auto"/>
        <w:rPr>
          <w:rFonts w:ascii="Arial" w:hAnsi="Arial" w:eastAsia="Times New Roman" w:cs="Arial"/>
          <w:b/>
          <w:bCs/>
          <w:sz w:val="24"/>
          <w:lang w:val="en-GB" w:eastAsia="en-US"/>
        </w:rPr>
      </w:pPr>
      <w:bookmarkStart w:id="0" w:name="_Hlk506366071"/>
      <w:r>
        <w:rPr>
          <w:rFonts w:ascii="Arial" w:hAnsi="Arial" w:eastAsia="Times New Roman" w:cs="Arial"/>
          <w:b/>
          <w:bCs/>
          <w:sz w:val="24"/>
          <w:lang w:val="en-GB" w:eastAsia="en-US"/>
        </w:rPr>
        <w:t>Document for:</w:t>
      </w:r>
      <w:r>
        <w:rPr>
          <w:rFonts w:ascii="Arial" w:hAnsi="Arial" w:eastAsia="Times New Roman" w:cs="Arial"/>
          <w:b/>
          <w:bCs/>
          <w:sz w:val="24"/>
          <w:lang w:val="en-GB" w:eastAsia="en-US"/>
        </w:rPr>
        <w:tab/>
      </w:r>
      <w:r>
        <w:rPr>
          <w:rFonts w:ascii="Arial" w:hAnsi="Arial" w:eastAsia="Times New Roman" w:cs="Arial"/>
          <w:b/>
          <w:bCs/>
          <w:sz w:val="24"/>
          <w:lang w:val="en-GB" w:eastAsia="en-US"/>
        </w:rPr>
        <w:t>Discussion and Decision</w:t>
      </w:r>
      <w:bookmarkEnd w:id="0"/>
    </w:p>
    <w:p>
      <w:pPr>
        <w:pStyle w:val="2"/>
        <w:keepLines/>
        <w:numPr>
          <w:ilvl w:val="0"/>
          <w:numId w:val="4"/>
        </w:numPr>
        <w:pBdr>
          <w:top w:val="single" w:color="auto" w:sz="12" w:space="3"/>
        </w:pBdr>
        <w:overflowPunct w:val="0"/>
        <w:autoSpaceDE w:val="0"/>
        <w:autoSpaceDN w:val="0"/>
        <w:adjustRightInd w:val="0"/>
        <w:spacing w:after="180"/>
        <w:jc w:val="left"/>
        <w:textAlignment w:val="baseline"/>
      </w:pPr>
      <w:r>
        <w:t>Introduction</w:t>
      </w:r>
    </w:p>
    <w:p>
      <w:pPr>
        <w:spacing w:line="240" w:lineRule="auto"/>
        <w:rPr>
          <w:rFonts w:hint="default"/>
          <w:szCs w:val="21"/>
          <w:lang w:val="en-US" w:eastAsia="zh-CN"/>
        </w:rPr>
      </w:pPr>
      <w:r>
        <w:rPr>
          <w:rFonts w:hint="eastAsia"/>
          <w:szCs w:val="21"/>
          <w:lang w:val="en-US" w:eastAsia="zh-CN"/>
        </w:rPr>
        <w:t>In the RAN2</w:t>
      </w:r>
      <w:r>
        <w:rPr>
          <w:rFonts w:hint="default"/>
          <w:szCs w:val="21"/>
          <w:lang w:val="en-US" w:eastAsia="zh-CN"/>
        </w:rPr>
        <w:t>’</w:t>
      </w:r>
      <w:r>
        <w:rPr>
          <w:rFonts w:hint="eastAsia"/>
          <w:szCs w:val="21"/>
          <w:lang w:val="en-US" w:eastAsia="zh-CN"/>
        </w:rPr>
        <w:t>s last meeting, the progress is captured in [1]:</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60" w:beforeAutospacing="0" w:afterAutospacing="0" w:line="240" w:lineRule="auto"/>
              <w:ind w:left="220" w:leftChars="100" w:right="0" w:rightChars="0"/>
              <w:textAlignment w:val="auto"/>
              <w:rPr>
                <w:rFonts w:hint="default"/>
                <w:bCs/>
                <w:sz w:val="20"/>
                <w:szCs w:val="20"/>
                <w:lang w:eastAsia="en-GB"/>
              </w:rPr>
            </w:pPr>
            <w:r>
              <w:rPr>
                <w:rFonts w:hint="default"/>
                <w:bCs/>
                <w:sz w:val="20"/>
                <w:szCs w:val="20"/>
                <w:lang w:eastAsia="en-GB"/>
              </w:rPr>
              <w:t xml:space="preserve">RAN2 will further discuss the details about LP-WUS monitoring entry/exit conditions based on RAN1’s existing working assumptions.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60" w:beforeAutospacing="0" w:afterAutospacing="0" w:line="240" w:lineRule="auto"/>
              <w:ind w:left="220" w:leftChars="100" w:right="0" w:rightChars="0"/>
              <w:textAlignment w:val="auto"/>
              <w:rPr>
                <w:rFonts w:hint="default"/>
                <w:bCs/>
                <w:sz w:val="20"/>
                <w:szCs w:val="20"/>
                <w:lang w:eastAsia="en-GB"/>
              </w:rPr>
            </w:pPr>
            <w:r>
              <w:rPr>
                <w:rFonts w:hint="default"/>
                <w:bCs/>
                <w:sz w:val="20"/>
                <w:szCs w:val="20"/>
                <w:lang w:eastAsia="en-GB"/>
              </w:rPr>
              <w:t>The LP-WUS related configuration in SIB at least include the following information for IDLE/INACTIVE:</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60" w:beforeAutospacing="0" w:afterAutospacing="0" w:line="240" w:lineRule="auto"/>
              <w:ind w:left="220" w:leftChars="100" w:right="0" w:rightChars="0"/>
              <w:textAlignment w:val="auto"/>
              <w:rPr>
                <w:rFonts w:hint="default"/>
                <w:bCs/>
                <w:sz w:val="20"/>
                <w:szCs w:val="20"/>
                <w:lang w:eastAsia="en-GB"/>
              </w:rPr>
            </w:pPr>
            <w:r>
              <w:rPr>
                <w:rFonts w:hint="default"/>
                <w:bCs/>
                <w:sz w:val="20"/>
                <w:szCs w:val="20"/>
                <w:lang w:eastAsia="en-GB"/>
              </w:rPr>
              <w:t>-</w:t>
            </w:r>
            <w:r>
              <w:rPr>
                <w:rFonts w:hint="default"/>
                <w:bCs/>
                <w:sz w:val="20"/>
                <w:szCs w:val="20"/>
                <w:lang w:eastAsia="en-GB"/>
              </w:rPr>
              <w:tab/>
            </w:r>
            <w:r>
              <w:rPr>
                <w:rFonts w:hint="default"/>
                <w:bCs/>
                <w:sz w:val="20"/>
                <w:szCs w:val="20"/>
                <w:lang w:eastAsia="en-GB"/>
              </w:rPr>
              <w:t>LP-SS configuration</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60" w:beforeAutospacing="0" w:afterAutospacing="0" w:line="240" w:lineRule="auto"/>
              <w:ind w:left="220" w:leftChars="100" w:right="0" w:rightChars="0"/>
              <w:textAlignment w:val="auto"/>
              <w:rPr>
                <w:rFonts w:hint="default"/>
                <w:bCs/>
                <w:sz w:val="20"/>
                <w:szCs w:val="20"/>
                <w:lang w:eastAsia="en-GB"/>
              </w:rPr>
            </w:pPr>
            <w:r>
              <w:rPr>
                <w:rFonts w:hint="default"/>
                <w:bCs/>
                <w:sz w:val="20"/>
                <w:szCs w:val="20"/>
                <w:lang w:eastAsia="en-GB"/>
              </w:rPr>
              <w:t>-</w:t>
            </w:r>
            <w:r>
              <w:rPr>
                <w:rFonts w:hint="default"/>
                <w:bCs/>
                <w:sz w:val="20"/>
                <w:szCs w:val="20"/>
                <w:lang w:eastAsia="en-GB"/>
              </w:rPr>
              <w:tab/>
            </w:r>
            <w:r>
              <w:rPr>
                <w:rFonts w:hint="default"/>
                <w:bCs/>
                <w:sz w:val="20"/>
                <w:szCs w:val="20"/>
                <w:lang w:eastAsia="en-GB"/>
              </w:rPr>
              <w:t>LP-WUS configuration</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60" w:beforeAutospacing="0" w:afterAutospacing="0" w:line="240" w:lineRule="auto"/>
              <w:ind w:left="220" w:leftChars="100" w:right="0" w:rightChars="0"/>
              <w:textAlignment w:val="auto"/>
              <w:rPr>
                <w:rFonts w:hint="default"/>
                <w:bCs/>
                <w:sz w:val="20"/>
                <w:szCs w:val="20"/>
                <w:lang w:eastAsia="en-GB"/>
              </w:rPr>
            </w:pPr>
            <w:r>
              <w:rPr>
                <w:rFonts w:hint="default"/>
                <w:bCs/>
                <w:sz w:val="20"/>
                <w:szCs w:val="20"/>
                <w:lang w:eastAsia="en-GB"/>
              </w:rPr>
              <w:t>-</w:t>
            </w:r>
            <w:r>
              <w:rPr>
                <w:rFonts w:hint="default"/>
                <w:bCs/>
                <w:sz w:val="20"/>
                <w:szCs w:val="20"/>
                <w:lang w:eastAsia="en-GB"/>
              </w:rPr>
              <w:tab/>
            </w:r>
            <w:r>
              <w:rPr>
                <w:rFonts w:hint="default"/>
                <w:bCs/>
                <w:sz w:val="20"/>
                <w:szCs w:val="20"/>
                <w:lang w:eastAsia="en-GB"/>
              </w:rPr>
              <w:t>Entry/exit condition for LP-WUS monitoring (FFS if it always configured)</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60" w:beforeAutospacing="0" w:afterAutospacing="0" w:line="240" w:lineRule="auto"/>
              <w:ind w:left="220" w:leftChars="100" w:right="0" w:rightChars="0"/>
              <w:textAlignment w:val="auto"/>
              <w:rPr>
                <w:rFonts w:hint="default"/>
                <w:bCs/>
                <w:sz w:val="20"/>
                <w:szCs w:val="20"/>
                <w:lang w:eastAsia="en-GB"/>
              </w:rPr>
            </w:pPr>
            <w:r>
              <w:rPr>
                <w:rFonts w:hint="default"/>
                <w:bCs/>
                <w:sz w:val="20"/>
                <w:szCs w:val="20"/>
                <w:lang w:eastAsia="en-GB"/>
              </w:rPr>
              <w:t xml:space="preserve">Baseline for entry condition definition: If the serving cell quality, e.g. RSRP, RSRQ from MR, is above </w:t>
            </w:r>
            <w:bookmarkStart w:id="1" w:name="OLE_LINK21"/>
            <w:r>
              <w:rPr>
                <w:rFonts w:hint="default"/>
                <w:bCs/>
                <w:sz w:val="20"/>
                <w:szCs w:val="20"/>
                <w:lang w:eastAsia="en-GB"/>
              </w:rPr>
              <w:t xml:space="preserve">threshold(s) (if configured), UE may start to monitor LP-WUS, </w:t>
            </w:r>
            <w:bookmarkEnd w:id="1"/>
            <w:r>
              <w:rPr>
                <w:rFonts w:hint="default"/>
                <w:bCs/>
                <w:sz w:val="20"/>
                <w:szCs w:val="20"/>
                <w:lang w:eastAsia="en-GB"/>
              </w:rPr>
              <w:t xml:space="preserve">if UE monitors LP-WUS, it may stop monitoring the legacy PO. FFS if any measurement from LR is needed.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60" w:beforeAutospacing="0" w:afterAutospacing="0" w:line="240" w:lineRule="auto"/>
              <w:ind w:left="220" w:leftChars="100" w:right="0" w:rightChars="0"/>
              <w:textAlignment w:val="auto"/>
              <w:rPr>
                <w:rFonts w:hint="default"/>
                <w:bCs/>
                <w:sz w:val="20"/>
                <w:szCs w:val="20"/>
                <w:lang w:eastAsia="en-GB"/>
              </w:rPr>
            </w:pPr>
            <w:r>
              <w:rPr>
                <w:rFonts w:hint="default"/>
                <w:bCs/>
                <w:sz w:val="20"/>
                <w:szCs w:val="20"/>
                <w:lang w:eastAsia="en-GB"/>
              </w:rPr>
              <w:t>Baseline for exit condition definition: If the serving cell measurement result based on LR is below a threshold (if configured), UE monitors PO as in legacy and it may stop monitoring the LP-WUS.</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60" w:beforeAutospacing="0" w:afterAutospacing="0" w:line="240" w:lineRule="auto"/>
              <w:ind w:left="220" w:leftChars="100" w:right="0" w:rightChars="0"/>
              <w:textAlignment w:val="auto"/>
              <w:rPr>
                <w:rFonts w:hint="default"/>
                <w:bCs/>
                <w:sz w:val="20"/>
                <w:szCs w:val="20"/>
                <w:lang w:eastAsia="en-GB"/>
              </w:rPr>
            </w:pPr>
            <w:r>
              <w:rPr>
                <w:rFonts w:hint="default"/>
                <w:bCs/>
                <w:sz w:val="20"/>
                <w:szCs w:val="20"/>
                <w:lang w:eastAsia="en-GB"/>
              </w:rPr>
              <w:t>RAN2 understand that if UE is configured with CN-based LP-WUS subgrouping, it is up to CN to assign the LP-WUS subgroup ID to the UE.</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60" w:beforeAutospacing="0" w:afterAutospacing="0" w:line="240" w:lineRule="auto"/>
              <w:ind w:left="220" w:leftChars="100" w:right="0" w:rightChars="0"/>
              <w:textAlignment w:val="auto"/>
              <w:rPr>
                <w:rFonts w:hint="default"/>
                <w:bCs/>
                <w:sz w:val="20"/>
                <w:szCs w:val="20"/>
                <w:lang w:eastAsia="en-GB"/>
              </w:rPr>
            </w:pPr>
            <w:r>
              <w:rPr>
                <w:rFonts w:hint="default"/>
                <w:szCs w:val="20"/>
                <w:lang w:eastAsia="zh-CN"/>
              </w:rPr>
              <w:t xml:space="preserve">RAN2 assume the maximum number of subgroups that can be configured for LP-WUS subgrouping is no less than 8.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60" w:beforeAutospacing="0" w:afterAutospacing="0" w:line="240" w:lineRule="auto"/>
              <w:ind w:left="0" w:right="0" w:rightChars="0"/>
              <w:textAlignment w:val="auto"/>
              <w:rPr>
                <w:rFonts w:hint="default"/>
                <w:bCs/>
                <w:sz w:val="20"/>
                <w:szCs w:val="20"/>
                <w:lang w:eastAsia="en-GB"/>
              </w:rPr>
            </w:pPr>
            <w:r>
              <w:rPr>
                <w:rFonts w:hint="default"/>
                <w:bCs/>
                <w:sz w:val="20"/>
                <w:szCs w:val="20"/>
                <w:lang w:eastAsia="en-GB"/>
              </w:rPr>
              <w:t>From RAN2 perspective, no new procedure is introduced for SI reception/updates.</w:t>
            </w:r>
          </w:p>
        </w:tc>
      </w:tr>
    </w:tbl>
    <w:p>
      <w:pPr>
        <w:spacing w:before="240" w:line="240" w:lineRule="auto"/>
        <w:rPr>
          <w:rFonts w:hint="default"/>
          <w:szCs w:val="21"/>
          <w:lang w:val="en-US"/>
        </w:rPr>
      </w:pPr>
      <w:r>
        <w:rPr>
          <w:szCs w:val="21"/>
          <w:lang w:val="en-GB"/>
        </w:rPr>
        <w:t>In this contribution, we</w:t>
      </w:r>
      <w:r>
        <w:rPr>
          <w:rFonts w:hint="eastAsia"/>
          <w:szCs w:val="21"/>
          <w:lang w:val="en-US" w:eastAsia="zh-CN"/>
        </w:rPr>
        <w:t xml:space="preserve"> discuss the </w:t>
      </w:r>
      <w:r>
        <w:rPr>
          <w:szCs w:val="21"/>
          <w:lang w:val="en-GB"/>
        </w:rPr>
        <w:t xml:space="preserve">procedure and configuration of LP-WUS </w:t>
      </w:r>
      <w:r>
        <w:rPr>
          <w:rFonts w:hint="eastAsia"/>
          <w:szCs w:val="21"/>
          <w:lang w:val="en-US" w:eastAsia="zh-CN"/>
        </w:rPr>
        <w:t>in RRC_</w:t>
      </w:r>
      <w:r>
        <w:rPr>
          <w:szCs w:val="21"/>
          <w:lang w:val="en-GB"/>
        </w:rPr>
        <w:t>IDLE/INACTIVE modes</w:t>
      </w:r>
      <w:r>
        <w:rPr>
          <w:rFonts w:hint="eastAsia"/>
          <w:szCs w:val="21"/>
          <w:lang w:val="en-US" w:eastAsia="zh-CN"/>
        </w:rPr>
        <w:t xml:space="preserve"> including sub-grouping, time gap, entry/exit condition, configuration and dynamic PO aspects.</w:t>
      </w:r>
    </w:p>
    <w:p>
      <w:pPr>
        <w:pStyle w:val="2"/>
        <w:keepLines/>
        <w:numPr>
          <w:ilvl w:val="0"/>
          <w:numId w:val="4"/>
        </w:numPr>
        <w:pBdr>
          <w:top w:val="single" w:color="auto" w:sz="12" w:space="4"/>
        </w:pBdr>
        <w:overflowPunct w:val="0"/>
        <w:autoSpaceDE w:val="0"/>
        <w:autoSpaceDN w:val="0"/>
        <w:adjustRightInd w:val="0"/>
        <w:spacing w:after="180"/>
        <w:jc w:val="left"/>
        <w:textAlignment w:val="baseline"/>
      </w:pPr>
      <w:r>
        <w:t>Discussion</w:t>
      </w:r>
    </w:p>
    <w:p>
      <w:pPr>
        <w:pStyle w:val="33"/>
        <w:keepNext/>
        <w:numPr>
          <w:ilvl w:val="0"/>
          <w:numId w:val="1"/>
        </w:numPr>
        <w:overflowPunct/>
        <w:autoSpaceDE/>
        <w:autoSpaceDN/>
        <w:adjustRightInd/>
        <w:spacing w:before="240" w:after="240" w:line="240" w:lineRule="auto"/>
        <w:ind w:firstLineChars="0"/>
        <w:textAlignment w:val="auto"/>
        <w:outlineLvl w:val="0"/>
        <w:rPr>
          <w:rFonts w:ascii="Arial" w:hAnsi="Arial" w:eastAsia="黑体"/>
          <w:b/>
          <w:vanish/>
          <w:sz w:val="32"/>
          <w:szCs w:val="32"/>
        </w:rPr>
      </w:pPr>
    </w:p>
    <w:p>
      <w:pPr>
        <w:pStyle w:val="33"/>
        <w:keepNext/>
        <w:numPr>
          <w:ilvl w:val="0"/>
          <w:numId w:val="1"/>
        </w:numPr>
        <w:overflowPunct/>
        <w:autoSpaceDE/>
        <w:autoSpaceDN/>
        <w:adjustRightInd/>
        <w:spacing w:before="240" w:after="240" w:line="240" w:lineRule="auto"/>
        <w:ind w:firstLineChars="0"/>
        <w:textAlignment w:val="auto"/>
        <w:outlineLvl w:val="0"/>
        <w:rPr>
          <w:rFonts w:ascii="Arial" w:hAnsi="Arial" w:eastAsia="黑体"/>
          <w:b/>
          <w:vanish/>
          <w:sz w:val="32"/>
          <w:szCs w:val="32"/>
        </w:rPr>
      </w:pPr>
    </w:p>
    <w:p>
      <w:pPr>
        <w:spacing w:line="240" w:lineRule="auto"/>
        <w:rPr>
          <w:rFonts w:hint="default"/>
          <w:sz w:val="24"/>
          <w:szCs w:val="21"/>
          <w:u w:val="single"/>
          <w:lang w:val="en-US" w:eastAsia="zh-CN"/>
        </w:rPr>
      </w:pPr>
      <w:bookmarkStart w:id="2" w:name="OLE_LINK139"/>
      <w:bookmarkStart w:id="3" w:name="OLE_LINK6"/>
      <w:bookmarkStart w:id="4" w:name="OLE_LINK140"/>
      <w:r>
        <w:rPr>
          <w:rFonts w:hint="eastAsia"/>
          <w:sz w:val="24"/>
          <w:szCs w:val="21"/>
          <w:u w:val="single"/>
          <w:lang w:val="en-US" w:eastAsia="zh-CN"/>
        </w:rPr>
        <w:t>Time gap between LP-WUS and PDCCH monitoring</w:t>
      </w:r>
    </w:p>
    <w:p>
      <w:pPr>
        <w:spacing w:line="240" w:lineRule="auto"/>
        <w:rPr>
          <w:rFonts w:hint="eastAsia"/>
          <w:lang w:val="en-US" w:eastAsia="zh-CN"/>
        </w:rPr>
      </w:pPr>
      <w:r>
        <w:rPr>
          <w:rFonts w:hint="eastAsia"/>
          <w:lang w:val="en-US" w:eastAsia="zh-CN"/>
        </w:rPr>
        <w:t xml:space="preserve">According to RAN1 agreements, the </w:t>
      </w:r>
      <w:bookmarkStart w:id="5" w:name="OLE_LINK14"/>
      <w:r>
        <w:rPr>
          <w:rFonts w:hint="eastAsia"/>
          <w:lang w:val="en-US" w:eastAsia="zh-CN"/>
        </w:rPr>
        <w:t xml:space="preserve">minimum time gap between LP-WUS reception and MR to start PDCCH monitoring </w:t>
      </w:r>
      <w:bookmarkEnd w:id="5"/>
      <w:r>
        <w:rPr>
          <w:rFonts w:hint="eastAsia"/>
          <w:lang w:val="en-US" w:eastAsia="zh-CN"/>
        </w:rPr>
        <w:t xml:space="preserve">for RRC_CONNECTED is introduced for RRC CONNECTED mode. Similarly, this kind of parameter is also necessary to be defined for </w:t>
      </w:r>
      <w:bookmarkStart w:id="6" w:name="OLE_LINK15"/>
      <w:r>
        <w:rPr>
          <w:rFonts w:hint="eastAsia"/>
          <w:lang w:val="en-US" w:eastAsia="zh-CN"/>
        </w:rPr>
        <w:t>RRC IDLE/INACTIVE modes.</w:t>
      </w:r>
      <w:bookmarkEnd w:id="6"/>
      <w:r>
        <w:rPr>
          <w:rFonts w:hint="eastAsia"/>
          <w:lang w:val="en-US" w:eastAsia="zh-CN"/>
        </w:rPr>
        <w:t xml:space="preserve"> When LP-WUS and PEI are simultaneously activated, </w:t>
      </w:r>
      <w:bookmarkStart w:id="7" w:name="OLE_LINK12"/>
      <w:r>
        <w:rPr>
          <w:rFonts w:hint="eastAsia"/>
          <w:lang w:val="en-US" w:eastAsia="zh-CN"/>
        </w:rPr>
        <w:t xml:space="preserve">the time gap refers to the offset between </w:t>
      </w:r>
      <w:bookmarkEnd w:id="7"/>
      <w:r>
        <w:rPr>
          <w:rFonts w:hint="eastAsia"/>
          <w:lang w:val="en-US" w:eastAsia="zh-CN"/>
        </w:rPr>
        <w:t xml:space="preserve">LP-WUS reception </w:t>
      </w:r>
      <w:bookmarkStart w:id="8" w:name="OLE_LINK1"/>
      <w:r>
        <w:rPr>
          <w:rFonts w:hint="eastAsia"/>
          <w:lang w:val="en-US" w:eastAsia="zh-CN"/>
        </w:rPr>
        <w:t>and MR monitoring for PEI. If UE does not support PEI or PEI is not activated, the time gap refers to the offset between LP-WUS reception and MR monitoring for paging. It is efficient to configure the minimum time gap through SIB. The value of the minimum time gap is up to RAN1 discussion.</w:t>
      </w:r>
    </w:p>
    <w:p>
      <w:pPr>
        <w:spacing w:line="240" w:lineRule="auto"/>
        <w:rPr>
          <w:rFonts w:hint="default" w:eastAsiaTheme="minorEastAsia"/>
          <w:b/>
          <w:bCs/>
          <w:szCs w:val="22"/>
          <w:lang w:val="en-US" w:eastAsia="zh-CN"/>
        </w:rPr>
      </w:pPr>
      <w:bookmarkStart w:id="9" w:name="OLE_LINK16"/>
      <w:r>
        <w:rPr>
          <w:rFonts w:hint="eastAsia" w:eastAsiaTheme="minorEastAsia"/>
          <w:b/>
          <w:bCs/>
          <w:szCs w:val="22"/>
          <w:lang w:val="en-US" w:eastAsia="ko-KR"/>
        </w:rPr>
        <w:t xml:space="preserve">Proposal </w:t>
      </w:r>
      <w:r>
        <w:rPr>
          <w:rFonts w:hint="eastAsia" w:eastAsiaTheme="minorEastAsia"/>
          <w:b/>
          <w:bCs/>
          <w:szCs w:val="22"/>
          <w:lang w:val="en-US" w:eastAsia="zh-CN"/>
        </w:rPr>
        <w:t>1</w:t>
      </w:r>
      <w:r>
        <w:rPr>
          <w:rFonts w:hint="eastAsia" w:eastAsiaTheme="minorEastAsia"/>
          <w:b/>
          <w:bCs/>
          <w:szCs w:val="22"/>
          <w:lang w:val="en-US" w:eastAsia="ko-KR"/>
        </w:rPr>
        <w:t xml:space="preserve">. </w:t>
      </w:r>
      <w:r>
        <w:rPr>
          <w:rFonts w:hint="eastAsia" w:eastAsiaTheme="minorEastAsia"/>
          <w:b/>
          <w:bCs/>
          <w:szCs w:val="22"/>
          <w:lang w:val="en-US" w:eastAsia="zh-CN"/>
        </w:rPr>
        <w:t>RAN2 to define the minimum time gap between LP-WUS reception and MR to start PDCCH monitoring for RRC IDLE/INACTIVE modes.</w:t>
      </w:r>
    </w:p>
    <w:bookmarkEnd w:id="8"/>
    <w:bookmarkEnd w:id="9"/>
    <w:p>
      <w:pPr>
        <w:spacing w:line="240" w:lineRule="auto"/>
        <w:rPr>
          <w:rFonts w:hint="default"/>
          <w:sz w:val="24"/>
          <w:szCs w:val="21"/>
          <w:u w:val="single"/>
          <w:lang w:val="en-US" w:eastAsia="zh-CN"/>
        </w:rPr>
      </w:pPr>
      <w:r>
        <w:rPr>
          <w:rFonts w:hint="eastAsia"/>
          <w:sz w:val="24"/>
          <w:szCs w:val="21"/>
          <w:u w:val="single"/>
          <w:lang w:val="en-US" w:eastAsia="zh-CN"/>
        </w:rPr>
        <w:t>Enable/disable LP-WUS monitoring</w:t>
      </w:r>
    </w:p>
    <w:p>
      <w:pPr>
        <w:rPr>
          <w:rFonts w:hint="eastAsia"/>
          <w:sz w:val="24"/>
          <w:szCs w:val="21"/>
          <w:u w:val="none"/>
          <w:lang w:val="en-US" w:eastAsia="zh-CN"/>
        </w:rPr>
      </w:pPr>
      <w:r>
        <w:rPr>
          <w:rFonts w:hint="eastAsia"/>
          <w:sz w:val="24"/>
          <w:szCs w:val="21"/>
          <w:u w:val="none"/>
          <w:lang w:val="en-US" w:eastAsia="zh-CN"/>
        </w:rPr>
        <w:t>The LP-WUS configuration by broadcasting is cell-specific and common for all the UEs in the cell. However, it is not applicable to enable LP-WUS monitoring for all users. Considering different device types or traffic types, it may be necessary to enable/disable a certain user or some kinds of users to monitor LP-WUS. Moreover, it</w:t>
      </w:r>
      <w:r>
        <w:rPr>
          <w:rFonts w:hint="default"/>
          <w:sz w:val="24"/>
          <w:szCs w:val="21"/>
          <w:u w:val="none"/>
          <w:lang w:val="en-US" w:eastAsia="zh-CN"/>
        </w:rPr>
        <w:t>’</w:t>
      </w:r>
      <w:r>
        <w:rPr>
          <w:rFonts w:hint="eastAsia"/>
          <w:sz w:val="24"/>
          <w:szCs w:val="21"/>
          <w:u w:val="none"/>
          <w:lang w:val="en-US" w:eastAsia="zh-CN"/>
        </w:rPr>
        <w:t xml:space="preserve">s better to re-enable LP-WUS monitoring for these users that generate movement or location updates. This relevant problem has been discussed during the SI stage and no agreements have been achieved. We have the view that RAN2 to </w:t>
      </w:r>
      <w:bookmarkStart w:id="10" w:name="OLE_LINK17"/>
      <w:r>
        <w:rPr>
          <w:rFonts w:hint="eastAsia"/>
          <w:sz w:val="24"/>
          <w:szCs w:val="21"/>
          <w:u w:val="none"/>
          <w:lang w:val="en-US" w:eastAsia="zh-CN"/>
        </w:rPr>
        <w:t>discuss the method to enable/disable LP-WUS monitoring per UE.</w:t>
      </w:r>
    </w:p>
    <w:bookmarkEnd w:id="10"/>
    <w:p>
      <w:pPr>
        <w:rPr>
          <w:rFonts w:hint="default"/>
          <w:sz w:val="24"/>
          <w:szCs w:val="21"/>
          <w:u w:val="single"/>
          <w:lang w:val="en-US" w:eastAsia="zh-CN"/>
        </w:rPr>
      </w:pPr>
      <w:bookmarkStart w:id="11" w:name="OLE_LINK18"/>
      <w:r>
        <w:rPr>
          <w:rFonts w:hint="eastAsia" w:eastAsiaTheme="minorEastAsia"/>
          <w:b/>
          <w:bCs/>
          <w:szCs w:val="22"/>
          <w:lang w:val="en-US" w:eastAsia="ko-KR"/>
        </w:rPr>
        <w:t xml:space="preserve">Proposal </w:t>
      </w:r>
      <w:r>
        <w:rPr>
          <w:rFonts w:hint="eastAsia" w:eastAsiaTheme="minorEastAsia"/>
          <w:b/>
          <w:bCs/>
          <w:szCs w:val="22"/>
          <w:lang w:val="en-US" w:eastAsia="zh-CN"/>
        </w:rPr>
        <w:t>2</w:t>
      </w:r>
      <w:r>
        <w:rPr>
          <w:rFonts w:hint="eastAsia" w:eastAsiaTheme="minorEastAsia"/>
          <w:b/>
          <w:bCs/>
          <w:szCs w:val="22"/>
          <w:lang w:val="en-US" w:eastAsia="ko-KR"/>
        </w:rPr>
        <w:t xml:space="preserve">. </w:t>
      </w:r>
      <w:r>
        <w:rPr>
          <w:rFonts w:hint="eastAsia" w:eastAsiaTheme="minorEastAsia"/>
          <w:b/>
          <w:bCs/>
          <w:szCs w:val="22"/>
          <w:lang w:val="en-US" w:eastAsia="zh-CN"/>
        </w:rPr>
        <w:t>RAN2 to discuss the method to enable/disable LP-WUS monitoring per UE.</w:t>
      </w:r>
    </w:p>
    <w:bookmarkEnd w:id="11"/>
    <w:p>
      <w:pPr>
        <w:spacing w:line="240" w:lineRule="auto"/>
        <w:rPr>
          <w:rFonts w:hint="eastAsia"/>
          <w:sz w:val="24"/>
          <w:szCs w:val="21"/>
          <w:u w:val="single"/>
          <w:lang w:val="en-US" w:eastAsia="zh-CN"/>
        </w:rPr>
      </w:pPr>
      <w:r>
        <w:rPr>
          <w:rFonts w:hint="eastAsia"/>
          <w:sz w:val="24"/>
          <w:szCs w:val="21"/>
          <w:u w:val="single"/>
          <w:lang w:val="en-US" w:eastAsia="zh-CN"/>
        </w:rPr>
        <w:t>LP-WUS Subgrouping</w:t>
      </w:r>
    </w:p>
    <w:p>
      <w:pPr>
        <w:rPr>
          <w:rFonts w:hint="eastAsia"/>
          <w:sz w:val="24"/>
          <w:szCs w:val="21"/>
          <w:u w:val="none"/>
          <w:lang w:val="en-US" w:eastAsia="zh-CN"/>
        </w:rPr>
      </w:pPr>
      <w:r>
        <w:rPr>
          <w:rFonts w:hint="eastAsia"/>
          <w:sz w:val="24"/>
          <w:szCs w:val="21"/>
          <w:u w:val="none"/>
          <w:lang w:val="en-US" w:eastAsia="zh-CN"/>
        </w:rPr>
        <w:t>In the last RAN2 meeting, many companies proposed the method of UE_ID-based subgrouping for LP-WUS, but no consensus has been reached due to time constraints. We have agreed that the PEI subgrouping method is taken as a baseline for LP-WUS subgrouping. A similar formula as PEI can be used as a baseline for the UE_ID based subgrouping. However, in case LP-WUS is used together with PEI, an independent subgrouping ID should be designed for LP-WUS and PEI separately to reduce false alarm rates. In this way, UE from the same LP-WUS subgroup can be relevant to different PEI subgroups. In order to reduce the impact on the modification of Spec, we can modify the parameters (i.e. UE_ID) in the formula as PEI. FFS on the details.</w:t>
      </w:r>
    </w:p>
    <w:p>
      <w:pPr>
        <w:rPr>
          <w:rFonts w:hint="default"/>
          <w:sz w:val="24"/>
          <w:szCs w:val="21"/>
          <w:u w:val="none"/>
          <w:lang w:val="en-US" w:eastAsia="zh-CN"/>
        </w:rPr>
      </w:pPr>
      <w:bookmarkStart w:id="12" w:name="OLE_LINK19"/>
      <w:r>
        <w:rPr>
          <w:rFonts w:hint="eastAsia" w:eastAsiaTheme="minorEastAsia"/>
          <w:b/>
          <w:bCs/>
          <w:szCs w:val="22"/>
          <w:lang w:val="en-US" w:eastAsia="ko-KR"/>
        </w:rPr>
        <w:t xml:space="preserve">Proposal </w:t>
      </w:r>
      <w:r>
        <w:rPr>
          <w:rFonts w:hint="eastAsia" w:eastAsiaTheme="minorEastAsia"/>
          <w:b/>
          <w:bCs/>
          <w:szCs w:val="22"/>
          <w:lang w:val="en-US" w:eastAsia="zh-CN"/>
        </w:rPr>
        <w:t>3</w:t>
      </w:r>
      <w:r>
        <w:rPr>
          <w:rFonts w:hint="eastAsia" w:eastAsiaTheme="minorEastAsia"/>
          <w:b/>
          <w:bCs/>
          <w:szCs w:val="22"/>
          <w:lang w:val="en-US" w:eastAsia="ko-KR"/>
        </w:rPr>
        <w:t xml:space="preserve">. </w:t>
      </w:r>
      <w:r>
        <w:rPr>
          <w:rFonts w:hint="eastAsia" w:eastAsiaTheme="minorEastAsia"/>
          <w:b/>
          <w:bCs/>
          <w:szCs w:val="22"/>
          <w:lang w:val="en-US" w:eastAsia="zh-CN"/>
        </w:rPr>
        <w:t>For UE_ID-based subgrouping for LP-WUS, we can modify the parameters based on the design of PEI. FFS on the details.</w:t>
      </w:r>
    </w:p>
    <w:bookmarkEnd w:id="12"/>
    <w:p>
      <w:pPr>
        <w:rPr>
          <w:rFonts w:hint="default"/>
          <w:sz w:val="24"/>
          <w:szCs w:val="21"/>
          <w:u w:val="single"/>
          <w:lang w:val="en-US" w:eastAsia="zh-CN"/>
        </w:rPr>
      </w:pPr>
      <w:r>
        <w:rPr>
          <w:rFonts w:hint="eastAsia"/>
          <w:sz w:val="24"/>
          <w:szCs w:val="21"/>
          <w:u w:val="single"/>
          <w:lang w:val="en-US" w:eastAsia="zh-CN"/>
        </w:rPr>
        <w:t>Entry/exit condition of using LP-WUS</w:t>
      </w:r>
    </w:p>
    <w:p>
      <w:pPr>
        <w:rPr>
          <w:rFonts w:hint="default"/>
          <w:sz w:val="24"/>
          <w:szCs w:val="21"/>
          <w:u w:val="none"/>
          <w:lang w:val="en-US" w:eastAsia="zh-CN"/>
        </w:rPr>
      </w:pPr>
      <w:r>
        <w:rPr>
          <w:rFonts w:hint="eastAsia"/>
          <w:sz w:val="24"/>
          <w:szCs w:val="21"/>
          <w:u w:val="none"/>
          <w:lang w:val="en-US" w:eastAsia="zh-CN"/>
        </w:rPr>
        <w:t>Regarding the entry/exit condition of using LP-WUS, RAN2 has reached a consensus on the basic conditions. Based on the existing agreements for entry conditions of using LP-WUS, when the serving cell measurement performed by MR is above threshold(s), it is not safe to start to monitor LP-WUS because the coverage of LP-WUS may be not good enough to monitor LP-WUS. Therefore, additional measurement by LR is essential. Only after LR measurement also satisfies the threshold, UE starts monitoring LP-WUS.</w:t>
      </w:r>
    </w:p>
    <w:p>
      <w:pPr>
        <w:rPr>
          <w:rFonts w:hint="eastAsia"/>
          <w:sz w:val="24"/>
          <w:szCs w:val="21"/>
          <w:u w:val="none"/>
          <w:lang w:val="en-US" w:eastAsia="zh-CN"/>
        </w:rPr>
      </w:pPr>
      <w:r>
        <w:rPr>
          <w:rFonts w:hint="eastAsia" w:eastAsiaTheme="minorEastAsia"/>
          <w:b/>
          <w:bCs/>
          <w:szCs w:val="22"/>
          <w:lang w:val="en-US" w:eastAsia="ko-KR"/>
        </w:rPr>
        <w:t xml:space="preserve">Proposal </w:t>
      </w:r>
      <w:r>
        <w:rPr>
          <w:rFonts w:hint="eastAsia" w:eastAsiaTheme="minorEastAsia"/>
          <w:b/>
          <w:bCs/>
          <w:szCs w:val="22"/>
          <w:lang w:val="en-US" w:eastAsia="zh-CN"/>
        </w:rPr>
        <w:t>4</w:t>
      </w:r>
      <w:r>
        <w:rPr>
          <w:rFonts w:hint="eastAsia" w:eastAsiaTheme="minorEastAsia"/>
          <w:b/>
          <w:bCs/>
          <w:szCs w:val="22"/>
          <w:lang w:val="en-US" w:eastAsia="ko-KR"/>
        </w:rPr>
        <w:t xml:space="preserve">. </w:t>
      </w:r>
      <w:r>
        <w:rPr>
          <w:rFonts w:hint="eastAsia" w:eastAsiaTheme="minorEastAsia"/>
          <w:b/>
          <w:bCs/>
          <w:szCs w:val="22"/>
          <w:lang w:val="en-US" w:eastAsia="zh-CN"/>
        </w:rPr>
        <w:t>For the entry conditions of using LP-WUS, LP measurement is also needed except for MR measurement.</w:t>
      </w:r>
    </w:p>
    <w:p>
      <w:pPr>
        <w:spacing w:line="240" w:lineRule="auto"/>
        <w:rPr>
          <w:rFonts w:hint="eastAsia"/>
          <w:sz w:val="24"/>
          <w:szCs w:val="21"/>
          <w:u w:val="none"/>
          <w:lang w:val="en-US" w:eastAsia="zh-CN"/>
        </w:rPr>
      </w:pPr>
      <w:bookmarkStart w:id="13" w:name="OLE_LINK2"/>
      <w:r>
        <w:rPr>
          <w:rFonts w:hint="eastAsia"/>
          <w:sz w:val="24"/>
          <w:szCs w:val="21"/>
          <w:u w:val="single"/>
          <w:lang w:val="en-US" w:eastAsia="zh-CN"/>
        </w:rPr>
        <w:t>Configuration</w:t>
      </w:r>
    </w:p>
    <w:bookmarkEnd w:id="13"/>
    <w:p>
      <w:pPr>
        <w:rPr>
          <w:rFonts w:hint="eastAsia"/>
          <w:sz w:val="24"/>
          <w:szCs w:val="21"/>
          <w:u w:val="none"/>
          <w:lang w:val="en-US" w:eastAsia="zh-CN"/>
        </w:rPr>
      </w:pPr>
      <w:r>
        <w:rPr>
          <w:rFonts w:hint="eastAsia"/>
          <w:sz w:val="24"/>
          <w:szCs w:val="21"/>
          <w:u w:val="none"/>
          <w:lang w:val="en-US" w:eastAsia="zh-CN"/>
        </w:rPr>
        <w:t>RAN1 has divided the UE into three categories including OFDM-based WUR, OOK-based WUR and the UE supports the above two types of WURs. Different kinds of devices can bring different performance gains, i.e. latency, and accuracy. Therefore, the categories of WUR can be configured in SIB to indicate users in the cell.</w:t>
      </w:r>
    </w:p>
    <w:p>
      <w:pPr>
        <w:rPr>
          <w:rFonts w:hint="default" w:eastAsiaTheme="minorEastAsia"/>
          <w:b/>
          <w:bCs/>
          <w:szCs w:val="22"/>
          <w:lang w:val="en-US" w:eastAsia="zh-CN"/>
        </w:rPr>
      </w:pPr>
      <w:bookmarkStart w:id="14" w:name="OLE_LINK22"/>
      <w:r>
        <w:rPr>
          <w:rFonts w:hint="eastAsia" w:eastAsiaTheme="minorEastAsia"/>
          <w:b/>
          <w:bCs/>
          <w:szCs w:val="22"/>
          <w:lang w:val="en-US" w:eastAsia="ko-KR"/>
        </w:rPr>
        <w:t xml:space="preserve">Proposal </w:t>
      </w:r>
      <w:r>
        <w:rPr>
          <w:rFonts w:hint="eastAsia" w:eastAsiaTheme="minorEastAsia"/>
          <w:b/>
          <w:bCs/>
          <w:szCs w:val="22"/>
          <w:lang w:val="en-US" w:eastAsia="zh-CN"/>
        </w:rPr>
        <w:t>5</w:t>
      </w:r>
      <w:r>
        <w:rPr>
          <w:rFonts w:hint="eastAsia" w:eastAsiaTheme="minorEastAsia"/>
          <w:b/>
          <w:bCs/>
          <w:szCs w:val="22"/>
          <w:lang w:val="en-US" w:eastAsia="ko-KR"/>
        </w:rPr>
        <w:t xml:space="preserve">. </w:t>
      </w:r>
      <w:r>
        <w:rPr>
          <w:rFonts w:hint="eastAsia" w:eastAsiaTheme="minorEastAsia"/>
          <w:b/>
          <w:bCs/>
          <w:szCs w:val="22"/>
          <w:lang w:val="en-US" w:eastAsia="zh-CN"/>
        </w:rPr>
        <w:t>Which kind of WUR(i.e. OFDM-based, OOK-based, both types) can be configured in SIB.</w:t>
      </w:r>
    </w:p>
    <w:bookmarkEnd w:id="14"/>
    <w:p>
      <w:pPr>
        <w:spacing w:line="240" w:lineRule="auto"/>
        <w:rPr>
          <w:rFonts w:hint="eastAsia"/>
          <w:sz w:val="24"/>
          <w:szCs w:val="21"/>
          <w:u w:val="single"/>
          <w:lang w:val="en-US" w:eastAsia="zh-CN"/>
        </w:rPr>
      </w:pPr>
      <w:r>
        <w:rPr>
          <w:rFonts w:hint="eastAsia"/>
          <w:sz w:val="24"/>
          <w:szCs w:val="21"/>
          <w:u w:val="single"/>
          <w:lang w:val="en-US" w:eastAsia="zh-CN"/>
        </w:rPr>
        <w:t>Whether to support dynamic PO</w:t>
      </w:r>
    </w:p>
    <w:p>
      <w:pPr>
        <w:rPr>
          <w:rFonts w:hint="eastAsia"/>
          <w:sz w:val="24"/>
          <w:szCs w:val="21"/>
          <w:u w:val="none"/>
          <w:lang w:val="en-US" w:eastAsia="zh-CN"/>
        </w:rPr>
      </w:pPr>
      <w:r>
        <w:rPr>
          <w:rFonts w:hint="eastAsia"/>
          <w:sz w:val="24"/>
          <w:szCs w:val="21"/>
          <w:u w:val="none"/>
          <w:lang w:val="en-US" w:eastAsia="zh-CN"/>
        </w:rPr>
        <w:t>As for the dynamic PO, RAN1 has discussed and reached the following agreement: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Autospacing="0" w:line="240" w:lineRule="auto"/>
              <w:ind w:left="0" w:right="0"/>
              <w:textAlignment w:val="baseline"/>
              <w:rPr>
                <w:rFonts w:hint="default"/>
                <w:b/>
                <w:bCs/>
                <w:szCs w:val="20"/>
                <w:highlight w:val="green"/>
                <w:lang w:eastAsia="zh-CN" w:bidi="ar"/>
              </w:rPr>
            </w:pPr>
            <w:r>
              <w:rPr>
                <w:rFonts w:hint="default"/>
                <w:b/>
                <w:bCs/>
                <w:szCs w:val="20"/>
                <w:highlight w:val="green"/>
                <w:lang w:eastAsia="zh-CN" w:bidi="ar"/>
              </w:rPr>
              <w:t>Agreement</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Autospacing="0" w:line="240" w:lineRule="auto"/>
              <w:ind w:left="0" w:right="0"/>
              <w:textAlignment w:val="baseline"/>
              <w:rPr>
                <w:rFonts w:hint="default"/>
                <w:szCs w:val="20"/>
              </w:rPr>
            </w:pPr>
            <w:r>
              <w:rPr>
                <w:rFonts w:hint="default"/>
                <w:szCs w:val="20"/>
              </w:rPr>
              <w:t>It is supported that the UE monitors the legacy PO after receiving LP-WUS indicating wake-up.</w:t>
            </w:r>
          </w:p>
          <w:p>
            <w:pPr>
              <w:pStyle w:val="33"/>
              <w:keepNext w:val="0"/>
              <w:keepLines w:val="0"/>
              <w:pageBreakBefore w:val="0"/>
              <w:widowControl/>
              <w:numPr>
                <w:ilvl w:val="0"/>
                <w:numId w:val="5"/>
              </w:numPr>
              <w:suppressLineNumbers w:val="0"/>
              <w:kinsoku/>
              <w:wordWrap/>
              <w:overflowPunct w:val="0"/>
              <w:topLinePunct w:val="0"/>
              <w:autoSpaceDE w:val="0"/>
              <w:autoSpaceDN w:val="0"/>
              <w:bidi w:val="0"/>
              <w:adjustRightInd w:val="0"/>
              <w:snapToGrid/>
              <w:spacing w:before="0" w:beforeAutospacing="0" w:afterAutospacing="0" w:line="240" w:lineRule="auto"/>
              <w:ind w:left="0" w:right="0"/>
              <w:contextualSpacing w:val="0"/>
              <w:textAlignment w:val="baseline"/>
              <w:rPr>
                <w:rFonts w:hint="default"/>
                <w:szCs w:val="20"/>
              </w:rPr>
            </w:pPr>
            <w:r>
              <w:rPr>
                <w:rFonts w:hint="default"/>
                <w:szCs w:val="20"/>
              </w:rPr>
              <w:t>FFS: support of UE monitoring dynamic PO</w:t>
            </w:r>
          </w:p>
        </w:tc>
      </w:tr>
    </w:tbl>
    <w:p>
      <w:pPr>
        <w:rPr>
          <w:rFonts w:hint="eastAsia"/>
          <w:sz w:val="24"/>
          <w:szCs w:val="21"/>
          <w:u w:val="none"/>
          <w:lang w:val="en-US" w:eastAsia="zh-CN"/>
        </w:rPr>
      </w:pPr>
      <w:r>
        <w:rPr>
          <w:rFonts w:hint="eastAsia"/>
          <w:sz w:val="24"/>
          <w:szCs w:val="21"/>
          <w:u w:val="none"/>
          <w:lang w:val="en-US" w:eastAsia="zh-CN"/>
        </w:rPr>
        <w:t xml:space="preserve">The dynamic PO indicates that UE starts to monitor PO after receiving network indication, which is different from waiting for legacy paging occasion. From the perspective of latency, the dynamic PO can indeed reduce latency. However, it also leads to complex signalling processes and protocol impacts. Thus, we think </w:t>
      </w:r>
      <w:bookmarkStart w:id="15" w:name="OLE_LINK3"/>
      <w:r>
        <w:rPr>
          <w:rFonts w:hint="eastAsia"/>
          <w:sz w:val="24"/>
          <w:szCs w:val="21"/>
          <w:u w:val="none"/>
          <w:lang w:val="en-US" w:eastAsia="zh-CN"/>
        </w:rPr>
        <w:t>it is not necessary to support dynamic PO at this stage.</w:t>
      </w:r>
    </w:p>
    <w:bookmarkEnd w:id="15"/>
    <w:p>
      <w:pPr>
        <w:rPr>
          <w:rFonts w:hint="default"/>
          <w:sz w:val="24"/>
          <w:szCs w:val="21"/>
          <w:u w:val="none"/>
          <w:lang w:val="en-US" w:eastAsia="zh-CN"/>
        </w:rPr>
      </w:pPr>
      <w:bookmarkStart w:id="16" w:name="OLE_LINK4"/>
      <w:r>
        <w:rPr>
          <w:rFonts w:hint="eastAsia" w:eastAsiaTheme="minorEastAsia"/>
          <w:b/>
          <w:bCs/>
          <w:szCs w:val="22"/>
          <w:lang w:val="en-US" w:eastAsia="ko-KR"/>
        </w:rPr>
        <w:t xml:space="preserve">Proposal </w:t>
      </w:r>
      <w:r>
        <w:rPr>
          <w:rFonts w:hint="eastAsia" w:eastAsiaTheme="minorEastAsia"/>
          <w:b/>
          <w:bCs/>
          <w:szCs w:val="22"/>
          <w:lang w:val="en-US" w:eastAsia="zh-CN"/>
        </w:rPr>
        <w:t>6</w:t>
      </w:r>
      <w:r>
        <w:rPr>
          <w:rFonts w:hint="eastAsia" w:eastAsiaTheme="minorEastAsia"/>
          <w:b/>
          <w:bCs/>
          <w:szCs w:val="22"/>
          <w:lang w:val="en-US" w:eastAsia="ko-KR"/>
        </w:rPr>
        <w:t xml:space="preserve">. </w:t>
      </w:r>
      <w:r>
        <w:rPr>
          <w:rFonts w:hint="eastAsia" w:eastAsiaTheme="minorEastAsia"/>
          <w:b/>
          <w:bCs/>
          <w:szCs w:val="22"/>
          <w:lang w:val="en-US" w:eastAsia="zh-CN"/>
        </w:rPr>
        <w:t>From the RAN2 perspective, i</w:t>
      </w:r>
      <w:r>
        <w:rPr>
          <w:rFonts w:hint="eastAsia" w:eastAsiaTheme="minorEastAsia"/>
          <w:b/>
          <w:bCs/>
          <w:szCs w:val="22"/>
          <w:lang w:val="en-US" w:eastAsia="ko-KR"/>
        </w:rPr>
        <w:t xml:space="preserve">t is not necessary to support dynamic PO </w:t>
      </w:r>
      <w:r>
        <w:rPr>
          <w:rFonts w:hint="eastAsia" w:eastAsiaTheme="minorEastAsia"/>
          <w:b/>
          <w:bCs/>
          <w:szCs w:val="22"/>
          <w:lang w:val="en-US" w:eastAsia="zh-CN"/>
        </w:rPr>
        <w:t>at</w:t>
      </w:r>
      <w:r>
        <w:rPr>
          <w:rFonts w:hint="eastAsia" w:eastAsiaTheme="minorEastAsia"/>
          <w:b/>
          <w:bCs/>
          <w:szCs w:val="22"/>
          <w:lang w:val="en-US" w:eastAsia="ko-KR"/>
        </w:rPr>
        <w:t xml:space="preserve"> this stage.</w:t>
      </w:r>
    </w:p>
    <w:bookmarkEnd w:id="2"/>
    <w:bookmarkEnd w:id="3"/>
    <w:bookmarkEnd w:id="4"/>
    <w:bookmarkEnd w:id="16"/>
    <w:p>
      <w:pPr>
        <w:pStyle w:val="2"/>
        <w:keepLines/>
        <w:numPr>
          <w:ilvl w:val="0"/>
          <w:numId w:val="4"/>
        </w:numPr>
        <w:pBdr>
          <w:top w:val="single" w:color="auto" w:sz="12" w:space="3"/>
        </w:pBdr>
        <w:overflowPunct w:val="0"/>
        <w:autoSpaceDE w:val="0"/>
        <w:autoSpaceDN w:val="0"/>
        <w:adjustRightInd w:val="0"/>
        <w:spacing w:after="180"/>
        <w:jc w:val="left"/>
        <w:textAlignment w:val="baseline"/>
      </w:pPr>
      <w:r>
        <w:t>Conclusion</w:t>
      </w:r>
    </w:p>
    <w:p>
      <w:pPr>
        <w:spacing w:before="120"/>
        <w:jc w:val="both"/>
        <w:rPr>
          <w:rFonts w:eastAsia="宋体"/>
          <w:lang w:eastAsia="zh-CN"/>
        </w:rPr>
      </w:pPr>
      <w:r>
        <w:rPr>
          <w:rFonts w:eastAsia="宋体"/>
          <w:lang w:eastAsia="zh-CN"/>
        </w:rPr>
        <w:t xml:space="preserve">Based on the </w:t>
      </w:r>
      <w:r>
        <w:rPr>
          <w:rFonts w:hint="eastAsia" w:eastAsia="宋体"/>
          <w:lang w:val="en-US" w:eastAsia="zh-CN"/>
        </w:rPr>
        <w:t xml:space="preserve">above </w:t>
      </w:r>
      <w:r>
        <w:rPr>
          <w:rFonts w:eastAsia="宋体"/>
          <w:lang w:eastAsia="zh-CN"/>
        </w:rPr>
        <w:t xml:space="preserve">discussion, we have the following </w:t>
      </w:r>
      <w:r>
        <w:rPr>
          <w:rFonts w:hint="eastAsia" w:eastAsia="宋体"/>
          <w:lang w:val="en-US" w:eastAsia="zh-CN"/>
        </w:rPr>
        <w:t>p</w:t>
      </w:r>
      <w:r>
        <w:rPr>
          <w:rFonts w:eastAsia="宋体"/>
          <w:lang w:eastAsia="zh-CN"/>
        </w:rPr>
        <w:t>roposals.</w:t>
      </w:r>
    </w:p>
    <w:p>
      <w:pPr>
        <w:spacing w:line="240" w:lineRule="auto"/>
        <w:rPr>
          <w:rFonts w:hint="default" w:eastAsiaTheme="minorEastAsia"/>
          <w:b/>
          <w:bCs/>
          <w:szCs w:val="22"/>
          <w:lang w:val="en-US" w:eastAsia="zh-CN"/>
        </w:rPr>
      </w:pPr>
      <w:r>
        <w:rPr>
          <w:rFonts w:hint="eastAsia" w:eastAsiaTheme="minorEastAsia"/>
          <w:b/>
          <w:bCs/>
          <w:szCs w:val="22"/>
          <w:lang w:val="en-US" w:eastAsia="ko-KR"/>
        </w:rPr>
        <w:t xml:space="preserve">Proposal </w:t>
      </w:r>
      <w:r>
        <w:rPr>
          <w:rFonts w:hint="eastAsia" w:eastAsiaTheme="minorEastAsia"/>
          <w:b/>
          <w:bCs/>
          <w:szCs w:val="22"/>
          <w:lang w:val="en-US" w:eastAsia="zh-CN"/>
        </w:rPr>
        <w:t>1</w:t>
      </w:r>
      <w:r>
        <w:rPr>
          <w:rFonts w:hint="eastAsia" w:eastAsiaTheme="minorEastAsia"/>
          <w:b/>
          <w:bCs/>
          <w:szCs w:val="22"/>
          <w:lang w:val="en-US" w:eastAsia="ko-KR"/>
        </w:rPr>
        <w:t xml:space="preserve">. </w:t>
      </w:r>
      <w:r>
        <w:rPr>
          <w:rFonts w:hint="eastAsia" w:eastAsiaTheme="minorEastAsia"/>
          <w:b/>
          <w:bCs/>
          <w:szCs w:val="22"/>
          <w:lang w:val="en-US" w:eastAsia="zh-CN"/>
        </w:rPr>
        <w:t>RAN2 to define the minimum time gap between LP-WUS reception and MR to start PDCCH monitoring for RRC IDLE/INACTIVE modes.</w:t>
      </w:r>
    </w:p>
    <w:p>
      <w:pPr>
        <w:rPr>
          <w:rFonts w:hint="default"/>
          <w:sz w:val="24"/>
          <w:szCs w:val="21"/>
          <w:u w:val="single"/>
          <w:lang w:val="en-US" w:eastAsia="zh-CN"/>
        </w:rPr>
      </w:pPr>
      <w:r>
        <w:rPr>
          <w:rFonts w:hint="eastAsia" w:eastAsiaTheme="minorEastAsia"/>
          <w:b/>
          <w:bCs/>
          <w:szCs w:val="22"/>
          <w:lang w:val="en-US" w:eastAsia="ko-KR"/>
        </w:rPr>
        <w:t xml:space="preserve">Proposal </w:t>
      </w:r>
      <w:r>
        <w:rPr>
          <w:rFonts w:hint="eastAsia" w:eastAsiaTheme="minorEastAsia"/>
          <w:b/>
          <w:bCs/>
          <w:szCs w:val="22"/>
          <w:lang w:val="en-US" w:eastAsia="zh-CN"/>
        </w:rPr>
        <w:t>2</w:t>
      </w:r>
      <w:r>
        <w:rPr>
          <w:rFonts w:hint="eastAsia" w:eastAsiaTheme="minorEastAsia"/>
          <w:b/>
          <w:bCs/>
          <w:szCs w:val="22"/>
          <w:lang w:val="en-US" w:eastAsia="ko-KR"/>
        </w:rPr>
        <w:t xml:space="preserve">. </w:t>
      </w:r>
      <w:r>
        <w:rPr>
          <w:rFonts w:hint="eastAsia" w:eastAsiaTheme="minorEastAsia"/>
          <w:b/>
          <w:bCs/>
          <w:szCs w:val="22"/>
          <w:lang w:val="en-US" w:eastAsia="zh-CN"/>
        </w:rPr>
        <w:t>RAN2 to discuss the method to enable/disable LP-WUS monitoring per UE.</w:t>
      </w:r>
    </w:p>
    <w:p>
      <w:pPr>
        <w:rPr>
          <w:rFonts w:hint="default"/>
          <w:sz w:val="24"/>
          <w:szCs w:val="21"/>
          <w:u w:val="none"/>
          <w:lang w:val="en-US" w:eastAsia="zh-CN"/>
        </w:rPr>
      </w:pPr>
      <w:r>
        <w:rPr>
          <w:rFonts w:hint="eastAsia" w:eastAsiaTheme="minorEastAsia"/>
          <w:b/>
          <w:bCs/>
          <w:szCs w:val="22"/>
          <w:lang w:val="en-US" w:eastAsia="ko-KR"/>
        </w:rPr>
        <w:t xml:space="preserve">Proposal </w:t>
      </w:r>
      <w:r>
        <w:rPr>
          <w:rFonts w:hint="eastAsia" w:eastAsiaTheme="minorEastAsia"/>
          <w:b/>
          <w:bCs/>
          <w:szCs w:val="22"/>
          <w:lang w:val="en-US" w:eastAsia="zh-CN"/>
        </w:rPr>
        <w:t>3</w:t>
      </w:r>
      <w:r>
        <w:rPr>
          <w:rFonts w:hint="eastAsia" w:eastAsiaTheme="minorEastAsia"/>
          <w:b/>
          <w:bCs/>
          <w:szCs w:val="22"/>
          <w:lang w:val="en-US" w:eastAsia="ko-KR"/>
        </w:rPr>
        <w:t xml:space="preserve">. </w:t>
      </w:r>
      <w:r>
        <w:rPr>
          <w:rFonts w:hint="eastAsia" w:eastAsiaTheme="minorEastAsia"/>
          <w:b/>
          <w:bCs/>
          <w:szCs w:val="22"/>
          <w:lang w:val="en-US" w:eastAsia="zh-CN"/>
        </w:rPr>
        <w:t>For UE_ID-based subgrouping for LP-WUS, we can modify the parameters based on the design of PEI. FFS on the details.</w:t>
      </w:r>
    </w:p>
    <w:p>
      <w:pPr>
        <w:rPr>
          <w:rFonts w:hint="eastAsia"/>
          <w:sz w:val="24"/>
          <w:szCs w:val="21"/>
          <w:u w:val="none"/>
          <w:lang w:val="en-US" w:eastAsia="zh-CN"/>
        </w:rPr>
      </w:pPr>
      <w:r>
        <w:rPr>
          <w:rFonts w:hint="eastAsia" w:eastAsiaTheme="minorEastAsia"/>
          <w:b/>
          <w:bCs/>
          <w:szCs w:val="22"/>
          <w:lang w:val="en-US" w:eastAsia="ko-KR"/>
        </w:rPr>
        <w:t xml:space="preserve">Proposal </w:t>
      </w:r>
      <w:r>
        <w:rPr>
          <w:rFonts w:hint="eastAsia" w:eastAsiaTheme="minorEastAsia"/>
          <w:b/>
          <w:bCs/>
          <w:szCs w:val="22"/>
          <w:lang w:val="en-US" w:eastAsia="zh-CN"/>
        </w:rPr>
        <w:t>4</w:t>
      </w:r>
      <w:r>
        <w:rPr>
          <w:rFonts w:hint="eastAsia" w:eastAsiaTheme="minorEastAsia"/>
          <w:b/>
          <w:bCs/>
          <w:szCs w:val="22"/>
          <w:lang w:val="en-US" w:eastAsia="ko-KR"/>
        </w:rPr>
        <w:t xml:space="preserve">. </w:t>
      </w:r>
      <w:r>
        <w:rPr>
          <w:rFonts w:hint="eastAsia" w:eastAsiaTheme="minorEastAsia"/>
          <w:b/>
          <w:bCs/>
          <w:szCs w:val="22"/>
          <w:lang w:val="en-US" w:eastAsia="zh-CN"/>
        </w:rPr>
        <w:t>For the entry conditions of using LP-WUS, LP measurement is also needed except for MR measurement.</w:t>
      </w:r>
    </w:p>
    <w:p>
      <w:pPr>
        <w:rPr>
          <w:rFonts w:hint="default" w:eastAsiaTheme="minorEastAsia"/>
          <w:b/>
          <w:bCs/>
          <w:szCs w:val="22"/>
          <w:lang w:val="en-US" w:eastAsia="zh-CN"/>
        </w:rPr>
      </w:pPr>
      <w:r>
        <w:rPr>
          <w:rFonts w:hint="eastAsia" w:eastAsiaTheme="minorEastAsia"/>
          <w:b/>
          <w:bCs/>
          <w:szCs w:val="22"/>
          <w:lang w:val="en-US" w:eastAsia="ko-KR"/>
        </w:rPr>
        <w:t xml:space="preserve">Proposal </w:t>
      </w:r>
      <w:r>
        <w:rPr>
          <w:rFonts w:hint="eastAsia" w:eastAsiaTheme="minorEastAsia"/>
          <w:b/>
          <w:bCs/>
          <w:szCs w:val="22"/>
          <w:lang w:val="en-US" w:eastAsia="zh-CN"/>
        </w:rPr>
        <w:t>5</w:t>
      </w:r>
      <w:r>
        <w:rPr>
          <w:rFonts w:hint="eastAsia" w:eastAsiaTheme="minorEastAsia"/>
          <w:b/>
          <w:bCs/>
          <w:szCs w:val="22"/>
          <w:lang w:val="en-US" w:eastAsia="ko-KR"/>
        </w:rPr>
        <w:t xml:space="preserve">. </w:t>
      </w:r>
      <w:r>
        <w:rPr>
          <w:rFonts w:hint="eastAsia" w:eastAsiaTheme="minorEastAsia"/>
          <w:b/>
          <w:bCs/>
          <w:szCs w:val="22"/>
          <w:lang w:val="en-US" w:eastAsia="zh-CN"/>
        </w:rPr>
        <w:t>Which kind of WUR(i.e. OFDM-based, OOK-based, both types) can be configured in SIB.</w:t>
      </w:r>
    </w:p>
    <w:p>
      <w:pPr>
        <w:rPr>
          <w:rFonts w:hint="default"/>
          <w:sz w:val="24"/>
          <w:szCs w:val="21"/>
          <w:u w:val="none"/>
          <w:lang w:val="en-US" w:eastAsia="zh-CN"/>
        </w:rPr>
      </w:pPr>
      <w:r>
        <w:rPr>
          <w:rFonts w:hint="eastAsia" w:eastAsiaTheme="minorEastAsia"/>
          <w:b/>
          <w:bCs/>
          <w:szCs w:val="22"/>
          <w:lang w:val="en-US" w:eastAsia="ko-KR"/>
        </w:rPr>
        <w:t xml:space="preserve">Proposal </w:t>
      </w:r>
      <w:r>
        <w:rPr>
          <w:rFonts w:hint="eastAsia" w:eastAsiaTheme="minorEastAsia"/>
          <w:b/>
          <w:bCs/>
          <w:szCs w:val="22"/>
          <w:lang w:val="en-US" w:eastAsia="zh-CN"/>
        </w:rPr>
        <w:t>6</w:t>
      </w:r>
      <w:r>
        <w:rPr>
          <w:rFonts w:hint="eastAsia" w:eastAsiaTheme="minorEastAsia"/>
          <w:b/>
          <w:bCs/>
          <w:szCs w:val="22"/>
          <w:lang w:val="en-US" w:eastAsia="ko-KR"/>
        </w:rPr>
        <w:t xml:space="preserve">. </w:t>
      </w:r>
      <w:r>
        <w:rPr>
          <w:rFonts w:hint="eastAsia" w:eastAsiaTheme="minorEastAsia"/>
          <w:b/>
          <w:bCs/>
          <w:szCs w:val="22"/>
          <w:lang w:val="en-US" w:eastAsia="zh-CN"/>
        </w:rPr>
        <w:t>From the RAN2 perspective, i</w:t>
      </w:r>
      <w:r>
        <w:rPr>
          <w:rFonts w:hint="eastAsia" w:eastAsiaTheme="minorEastAsia"/>
          <w:b/>
          <w:bCs/>
          <w:szCs w:val="22"/>
          <w:lang w:val="en-US" w:eastAsia="ko-KR"/>
        </w:rPr>
        <w:t xml:space="preserve">t is not necessary to support dynamic PO </w:t>
      </w:r>
      <w:r>
        <w:rPr>
          <w:rFonts w:hint="eastAsia" w:eastAsiaTheme="minorEastAsia"/>
          <w:b/>
          <w:bCs/>
          <w:szCs w:val="22"/>
          <w:lang w:val="en-US" w:eastAsia="zh-CN"/>
        </w:rPr>
        <w:t>at</w:t>
      </w:r>
      <w:r>
        <w:rPr>
          <w:rFonts w:hint="eastAsia" w:eastAsiaTheme="minorEastAsia"/>
          <w:b/>
          <w:bCs/>
          <w:szCs w:val="22"/>
          <w:lang w:val="en-US" w:eastAsia="ko-KR"/>
        </w:rPr>
        <w:t xml:space="preserve"> this stage.</w:t>
      </w:r>
    </w:p>
    <w:p>
      <w:pPr>
        <w:pStyle w:val="2"/>
        <w:keepLines/>
        <w:numPr>
          <w:ilvl w:val="0"/>
          <w:numId w:val="4"/>
        </w:numPr>
        <w:pBdr>
          <w:top w:val="single" w:color="auto" w:sz="12" w:space="3"/>
        </w:pBdr>
        <w:overflowPunct w:val="0"/>
        <w:autoSpaceDE w:val="0"/>
        <w:autoSpaceDN w:val="0"/>
        <w:adjustRightInd w:val="0"/>
        <w:spacing w:after="180"/>
        <w:jc w:val="left"/>
        <w:textAlignment w:val="baseline"/>
      </w:pPr>
      <w:r>
        <w:rPr>
          <w:rFonts w:hint="eastAsia"/>
        </w:rPr>
        <w:t>References</w:t>
      </w:r>
    </w:p>
    <w:p>
      <w:pPr>
        <w:pStyle w:val="39"/>
        <w:rPr>
          <w:rFonts w:ascii="Times New Roman" w:hAnsi="Times New Roman" w:eastAsia="宋体"/>
          <w:kern w:val="0"/>
          <w:sz w:val="22"/>
          <w:szCs w:val="20"/>
        </w:rPr>
      </w:pPr>
      <w:r>
        <w:rPr>
          <w:rFonts w:hint="eastAsia" w:ascii="Times New Roman" w:hAnsi="Times New Roman" w:eastAsia="宋体"/>
          <w:kern w:val="0"/>
          <w:sz w:val="22"/>
          <w:szCs w:val="20"/>
          <w:lang w:val="en-US" w:eastAsia="zh-CN"/>
        </w:rPr>
        <w:t xml:space="preserve">3GPP TSG RAN WG2 #126 </w:t>
      </w:r>
      <w:r>
        <w:rPr>
          <w:rFonts w:hint="eastAsia" w:ascii="Times New Roman" w:hAnsi="Times New Roman" w:eastAsia="宋体"/>
          <w:kern w:val="0"/>
          <w:sz w:val="22"/>
          <w:szCs w:val="20"/>
        </w:rPr>
        <w:t>RAN</w:t>
      </w:r>
      <w:r>
        <w:rPr>
          <w:rFonts w:hint="eastAsia" w:ascii="Times New Roman" w:hAnsi="Times New Roman" w:eastAsia="宋体"/>
          <w:kern w:val="0"/>
          <w:sz w:val="22"/>
          <w:szCs w:val="20"/>
          <w:lang w:val="en-US" w:eastAsia="zh-CN"/>
        </w:rPr>
        <w:t>2</w:t>
      </w:r>
      <w:r>
        <w:rPr>
          <w:rFonts w:hint="eastAsia" w:ascii="Times New Roman" w:hAnsi="Times New Roman" w:eastAsia="宋体"/>
          <w:kern w:val="0"/>
          <w:sz w:val="22"/>
          <w:szCs w:val="20"/>
        </w:rPr>
        <w:t xml:space="preserve"> Chair</w:t>
      </w:r>
      <w:r>
        <w:rPr>
          <w:rFonts w:hint="default" w:ascii="Times New Roman" w:hAnsi="Times New Roman" w:eastAsia="宋体"/>
          <w:kern w:val="0"/>
          <w:sz w:val="22"/>
          <w:szCs w:val="20"/>
          <w:lang w:val="en-US" w:eastAsia="zh-CN"/>
        </w:rPr>
        <w:t>’</w:t>
      </w:r>
      <w:r>
        <w:rPr>
          <w:rFonts w:hint="eastAsia" w:ascii="Times New Roman" w:hAnsi="Times New Roman" w:eastAsia="宋体"/>
          <w:kern w:val="0"/>
          <w:sz w:val="22"/>
          <w:szCs w:val="20"/>
          <w:lang w:val="en-US" w:eastAsia="zh-CN"/>
        </w:rPr>
        <w:t>s</w:t>
      </w:r>
      <w:r>
        <w:rPr>
          <w:rFonts w:hint="eastAsia" w:ascii="Times New Roman" w:hAnsi="Times New Roman" w:eastAsia="宋体"/>
          <w:kern w:val="0"/>
          <w:sz w:val="22"/>
          <w:szCs w:val="20"/>
        </w:rPr>
        <w:t xml:space="preserve"> Notes</w:t>
      </w:r>
      <w:r>
        <w:rPr>
          <w:rFonts w:hint="eastAsia" w:ascii="Times New Roman" w:hAnsi="Times New Roman" w:eastAsia="宋体"/>
          <w:kern w:val="0"/>
          <w:sz w:val="22"/>
          <w:szCs w:val="20"/>
          <w:lang w:val="en-US" w:eastAsia="zh-CN"/>
        </w:rPr>
        <w:t>.</w:t>
      </w:r>
    </w:p>
    <w:sectPr>
      <w:headerReference r:id="rId6" w:type="first"/>
      <w:footerReference r:id="rId8" w:type="first"/>
      <w:headerReference r:id="rId5" w:type="even"/>
      <w:footerReference r:id="rId7" w:type="even"/>
      <w:pgSz w:w="11906" w:h="16838"/>
      <w:pgMar w:top="1312" w:right="1133" w:bottom="1440" w:left="1134" w:header="779"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w:panose1 w:val="02020609040205080304"/>
    <w:charset w:val="80"/>
    <w:family w:val="modern"/>
    <w:pitch w:val="default"/>
    <w:sig w:usb0="00000000" w:usb1="00000000" w:usb2="08000012" w:usb3="00000000" w:csb0="0002009F" w:csb1="00000000"/>
  </w:font>
  <w:font w:name="@MS Mincho">
    <w:altName w:val="Yu Gothic UI"/>
    <w:panose1 w:val="02020609040205080304"/>
    <w:charset w:val="80"/>
    <w:family w:val="auto"/>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auto"/>
    <w:pitch w:val="variable"/>
    <w:sig w:usb0="E00006FF" w:usb1="420024FF" w:usb2="02000000" w:usb3="00000000" w:csb0="2000019F" w:csb1="00000000"/>
  </w:font>
  <w:font w:name="@Malgun Gothic">
    <w:panose1 w:val="020B0503020000020004"/>
    <w:charset w:val="81"/>
    <w:family w:val="auto"/>
    <w:pitch w:val="variable"/>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3"/>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9"/>
      <w:suff w:val="space"/>
      <w:lvlText w:val="表%9"/>
      <w:lvlJc w:val="center"/>
      <w:pPr>
        <w:ind w:left="0" w:firstLine="0"/>
      </w:pPr>
      <w:rPr>
        <w:rFonts w:hint="default" w:ascii="Arial" w:hAnsi="Arial" w:eastAsia="黑体"/>
        <w:b w:val="0"/>
        <w:i w:val="0"/>
        <w:sz w:val="18"/>
        <w:szCs w:val="18"/>
      </w:rPr>
    </w:lvl>
  </w:abstractNum>
  <w:abstractNum w:abstractNumId="1">
    <w:nsid w:val="4BDF65F6"/>
    <w:multiLevelType w:val="multilevel"/>
    <w:tmpl w:val="4BDF65F6"/>
    <w:lvl w:ilvl="0" w:tentative="0">
      <w:start w:val="1"/>
      <w:numFmt w:val="decimal"/>
      <w:pStyle w:val="3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71E504D"/>
    <w:multiLevelType w:val="multilevel"/>
    <w:tmpl w:val="571E50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3546429"/>
    <w:multiLevelType w:val="multilevel"/>
    <w:tmpl w:val="63546429"/>
    <w:lvl w:ilvl="0" w:tentative="0">
      <w:start w:val="1"/>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lvlText w:val="%4."/>
      <w:lvlJc w:val="left"/>
      <w:pPr>
        <w:tabs>
          <w:tab w:val="left" w:pos="567"/>
        </w:tabs>
        <w:ind w:left="936" w:hanging="680"/>
      </w:pPr>
      <w:rPr>
        <w:rFonts w:hint="eastAsia"/>
      </w:rPr>
    </w:lvl>
    <w:lvl w:ilvl="4" w:tentative="0">
      <w:start w:val="1"/>
      <w:numFmt w:val="decimal"/>
      <w:lvlText w:val="%5）"/>
      <w:lvlJc w:val="left"/>
      <w:pPr>
        <w:tabs>
          <w:tab w:val="left" w:pos="567"/>
        </w:tabs>
        <w:ind w:left="936" w:hanging="680"/>
      </w:pPr>
      <w:rPr>
        <w:rFonts w:hint="eastAsia"/>
      </w:rPr>
    </w:lvl>
    <w:lvl w:ilvl="5" w:tentative="0">
      <w:start w:val="1"/>
      <w:numFmt w:val="lowerLetter"/>
      <w:lvlText w:val="%6）"/>
      <w:lvlJc w:val="left"/>
      <w:pPr>
        <w:tabs>
          <w:tab w:val="left" w:pos="567"/>
        </w:tabs>
        <w:ind w:left="936" w:hanging="680"/>
      </w:pPr>
      <w:rPr>
        <w:rFonts w:hint="eastAsia"/>
      </w:rPr>
    </w:lvl>
    <w:lvl w:ilvl="6" w:tentative="0">
      <w:start w:val="1"/>
      <w:numFmt w:val="lowerRoman"/>
      <w:lvlText w:val="%7"/>
      <w:lvlJc w:val="left"/>
      <w:pPr>
        <w:tabs>
          <w:tab w:val="left" w:pos="567"/>
        </w:tabs>
        <w:ind w:left="936" w:hanging="680"/>
      </w:pPr>
      <w:rPr>
        <w:rFonts w:hint="default"/>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7A710F62"/>
    <w:multiLevelType w:val="multilevel"/>
    <w:tmpl w:val="7A710F62"/>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pStyle w:val="41"/>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2BA"/>
    <w:rsid w:val="00001F98"/>
    <w:rsid w:val="00005D3B"/>
    <w:rsid w:val="000075DA"/>
    <w:rsid w:val="000306BB"/>
    <w:rsid w:val="00031DF9"/>
    <w:rsid w:val="00032900"/>
    <w:rsid w:val="00035469"/>
    <w:rsid w:val="0004070B"/>
    <w:rsid w:val="00056374"/>
    <w:rsid w:val="00056D18"/>
    <w:rsid w:val="00061B39"/>
    <w:rsid w:val="00062DAA"/>
    <w:rsid w:val="00070911"/>
    <w:rsid w:val="0007342E"/>
    <w:rsid w:val="00074860"/>
    <w:rsid w:val="000835BC"/>
    <w:rsid w:val="00083827"/>
    <w:rsid w:val="0008441A"/>
    <w:rsid w:val="00091CF8"/>
    <w:rsid w:val="00091E9D"/>
    <w:rsid w:val="000924E1"/>
    <w:rsid w:val="00092C1A"/>
    <w:rsid w:val="00094673"/>
    <w:rsid w:val="00097A25"/>
    <w:rsid w:val="000A1DBF"/>
    <w:rsid w:val="000A7428"/>
    <w:rsid w:val="000B37EB"/>
    <w:rsid w:val="000B6189"/>
    <w:rsid w:val="000B667E"/>
    <w:rsid w:val="000C2DB1"/>
    <w:rsid w:val="000C78AE"/>
    <w:rsid w:val="000D3560"/>
    <w:rsid w:val="000D5F49"/>
    <w:rsid w:val="000F755F"/>
    <w:rsid w:val="00111293"/>
    <w:rsid w:val="0011713F"/>
    <w:rsid w:val="0012175A"/>
    <w:rsid w:val="00124EA6"/>
    <w:rsid w:val="00125A6D"/>
    <w:rsid w:val="00126F7D"/>
    <w:rsid w:val="001377B5"/>
    <w:rsid w:val="001413E3"/>
    <w:rsid w:val="00142D84"/>
    <w:rsid w:val="001464F7"/>
    <w:rsid w:val="00150E17"/>
    <w:rsid w:val="00152986"/>
    <w:rsid w:val="00152B8F"/>
    <w:rsid w:val="001573B9"/>
    <w:rsid w:val="00162F8E"/>
    <w:rsid w:val="0016385A"/>
    <w:rsid w:val="00166684"/>
    <w:rsid w:val="001678EA"/>
    <w:rsid w:val="0018187A"/>
    <w:rsid w:val="00182E6F"/>
    <w:rsid w:val="0019641C"/>
    <w:rsid w:val="001A375E"/>
    <w:rsid w:val="001B3CDF"/>
    <w:rsid w:val="001D3CBB"/>
    <w:rsid w:val="001D6BD2"/>
    <w:rsid w:val="001E647D"/>
    <w:rsid w:val="001E7184"/>
    <w:rsid w:val="001F31D1"/>
    <w:rsid w:val="001F3A7D"/>
    <w:rsid w:val="001F411A"/>
    <w:rsid w:val="001F685C"/>
    <w:rsid w:val="00201411"/>
    <w:rsid w:val="002042E3"/>
    <w:rsid w:val="00206EF1"/>
    <w:rsid w:val="002106B1"/>
    <w:rsid w:val="00212C6A"/>
    <w:rsid w:val="00213C01"/>
    <w:rsid w:val="00220566"/>
    <w:rsid w:val="0022514C"/>
    <w:rsid w:val="002339D4"/>
    <w:rsid w:val="002348D7"/>
    <w:rsid w:val="002357EF"/>
    <w:rsid w:val="00237F40"/>
    <w:rsid w:val="00240964"/>
    <w:rsid w:val="002434A6"/>
    <w:rsid w:val="002535B4"/>
    <w:rsid w:val="0025674E"/>
    <w:rsid w:val="00257653"/>
    <w:rsid w:val="00257B59"/>
    <w:rsid w:val="0026693D"/>
    <w:rsid w:val="00266C6F"/>
    <w:rsid w:val="00270EE1"/>
    <w:rsid w:val="00281E0D"/>
    <w:rsid w:val="00287697"/>
    <w:rsid w:val="00292F37"/>
    <w:rsid w:val="00295AA4"/>
    <w:rsid w:val="00297EEA"/>
    <w:rsid w:val="002A0EF4"/>
    <w:rsid w:val="002A3C41"/>
    <w:rsid w:val="002B5616"/>
    <w:rsid w:val="002B6534"/>
    <w:rsid w:val="002B68C5"/>
    <w:rsid w:val="002B79D1"/>
    <w:rsid w:val="002C5E30"/>
    <w:rsid w:val="002D0D93"/>
    <w:rsid w:val="002D1932"/>
    <w:rsid w:val="002D499E"/>
    <w:rsid w:val="002D6105"/>
    <w:rsid w:val="002F0167"/>
    <w:rsid w:val="002F066C"/>
    <w:rsid w:val="002F1163"/>
    <w:rsid w:val="002F1DA3"/>
    <w:rsid w:val="0030477B"/>
    <w:rsid w:val="003053E1"/>
    <w:rsid w:val="003055E4"/>
    <w:rsid w:val="00307760"/>
    <w:rsid w:val="00310F36"/>
    <w:rsid w:val="0032022F"/>
    <w:rsid w:val="003211BE"/>
    <w:rsid w:val="00321839"/>
    <w:rsid w:val="00322719"/>
    <w:rsid w:val="00326101"/>
    <w:rsid w:val="00330B1B"/>
    <w:rsid w:val="003310D3"/>
    <w:rsid w:val="00336C01"/>
    <w:rsid w:val="00342B0D"/>
    <w:rsid w:val="00343E55"/>
    <w:rsid w:val="00347B07"/>
    <w:rsid w:val="00351872"/>
    <w:rsid w:val="003565E6"/>
    <w:rsid w:val="00362C05"/>
    <w:rsid w:val="00362C9B"/>
    <w:rsid w:val="00365AC4"/>
    <w:rsid w:val="00366D30"/>
    <w:rsid w:val="00380A8F"/>
    <w:rsid w:val="00384B3B"/>
    <w:rsid w:val="00385900"/>
    <w:rsid w:val="00386DA1"/>
    <w:rsid w:val="0039615F"/>
    <w:rsid w:val="003A1D28"/>
    <w:rsid w:val="003A29D2"/>
    <w:rsid w:val="003B48F5"/>
    <w:rsid w:val="003B5022"/>
    <w:rsid w:val="003B7468"/>
    <w:rsid w:val="003C27D3"/>
    <w:rsid w:val="003C2F6A"/>
    <w:rsid w:val="003C42D8"/>
    <w:rsid w:val="003C4EA3"/>
    <w:rsid w:val="003C54F7"/>
    <w:rsid w:val="003C6C21"/>
    <w:rsid w:val="003C74F8"/>
    <w:rsid w:val="003D31CD"/>
    <w:rsid w:val="003D40AE"/>
    <w:rsid w:val="003E0C47"/>
    <w:rsid w:val="003E1228"/>
    <w:rsid w:val="003F066D"/>
    <w:rsid w:val="003F07F5"/>
    <w:rsid w:val="00411894"/>
    <w:rsid w:val="00412E08"/>
    <w:rsid w:val="00414EDA"/>
    <w:rsid w:val="00415013"/>
    <w:rsid w:val="00417AD1"/>
    <w:rsid w:val="00420B97"/>
    <w:rsid w:val="00423AA1"/>
    <w:rsid w:val="00425F62"/>
    <w:rsid w:val="00426368"/>
    <w:rsid w:val="00426415"/>
    <w:rsid w:val="00430FE0"/>
    <w:rsid w:val="004359D3"/>
    <w:rsid w:val="00436227"/>
    <w:rsid w:val="00436C04"/>
    <w:rsid w:val="004416DA"/>
    <w:rsid w:val="00444BE1"/>
    <w:rsid w:val="00445D30"/>
    <w:rsid w:val="0045430E"/>
    <w:rsid w:val="00454AAD"/>
    <w:rsid w:val="004617B8"/>
    <w:rsid w:val="004618B5"/>
    <w:rsid w:val="0046501E"/>
    <w:rsid w:val="00466C54"/>
    <w:rsid w:val="00473CD7"/>
    <w:rsid w:val="0047585D"/>
    <w:rsid w:val="004762B8"/>
    <w:rsid w:val="004809D6"/>
    <w:rsid w:val="00480CC5"/>
    <w:rsid w:val="00481B3E"/>
    <w:rsid w:val="004833FF"/>
    <w:rsid w:val="00484B70"/>
    <w:rsid w:val="00487EFB"/>
    <w:rsid w:val="00490030"/>
    <w:rsid w:val="0049043E"/>
    <w:rsid w:val="00495BA3"/>
    <w:rsid w:val="00496347"/>
    <w:rsid w:val="00496730"/>
    <w:rsid w:val="004A0AC3"/>
    <w:rsid w:val="004A1987"/>
    <w:rsid w:val="004A782E"/>
    <w:rsid w:val="004B2E2A"/>
    <w:rsid w:val="004C76C7"/>
    <w:rsid w:val="004D6674"/>
    <w:rsid w:val="004E12CF"/>
    <w:rsid w:val="004E45CA"/>
    <w:rsid w:val="004F0A0E"/>
    <w:rsid w:val="004F1E08"/>
    <w:rsid w:val="004F4E99"/>
    <w:rsid w:val="004F5149"/>
    <w:rsid w:val="004F5D86"/>
    <w:rsid w:val="004F6E96"/>
    <w:rsid w:val="00500576"/>
    <w:rsid w:val="00505B54"/>
    <w:rsid w:val="00506DCF"/>
    <w:rsid w:val="00520E8A"/>
    <w:rsid w:val="0052233A"/>
    <w:rsid w:val="00522F78"/>
    <w:rsid w:val="00523189"/>
    <w:rsid w:val="00524F7E"/>
    <w:rsid w:val="005255F2"/>
    <w:rsid w:val="00526778"/>
    <w:rsid w:val="00526BED"/>
    <w:rsid w:val="0053131B"/>
    <w:rsid w:val="00534911"/>
    <w:rsid w:val="005438F5"/>
    <w:rsid w:val="0054542B"/>
    <w:rsid w:val="00547EA8"/>
    <w:rsid w:val="00554F02"/>
    <w:rsid w:val="00561625"/>
    <w:rsid w:val="005713A5"/>
    <w:rsid w:val="00582735"/>
    <w:rsid w:val="00584E78"/>
    <w:rsid w:val="005907D5"/>
    <w:rsid w:val="00591C31"/>
    <w:rsid w:val="00592201"/>
    <w:rsid w:val="00593E6A"/>
    <w:rsid w:val="005A1FCF"/>
    <w:rsid w:val="005A5A56"/>
    <w:rsid w:val="005B24D1"/>
    <w:rsid w:val="005B36D9"/>
    <w:rsid w:val="005B39BF"/>
    <w:rsid w:val="005B4075"/>
    <w:rsid w:val="005D43A4"/>
    <w:rsid w:val="005D4BD7"/>
    <w:rsid w:val="005E170E"/>
    <w:rsid w:val="005E3E19"/>
    <w:rsid w:val="005E3EE9"/>
    <w:rsid w:val="005F4383"/>
    <w:rsid w:val="005F4B04"/>
    <w:rsid w:val="00601B5F"/>
    <w:rsid w:val="00613DB7"/>
    <w:rsid w:val="0062474C"/>
    <w:rsid w:val="00634265"/>
    <w:rsid w:val="00636C12"/>
    <w:rsid w:val="0065572F"/>
    <w:rsid w:val="00655F5A"/>
    <w:rsid w:val="00657271"/>
    <w:rsid w:val="0065791B"/>
    <w:rsid w:val="0067248E"/>
    <w:rsid w:val="00674057"/>
    <w:rsid w:val="0068044D"/>
    <w:rsid w:val="00686782"/>
    <w:rsid w:val="00687237"/>
    <w:rsid w:val="006A3AB4"/>
    <w:rsid w:val="006A6326"/>
    <w:rsid w:val="006B0A2A"/>
    <w:rsid w:val="006B0EC9"/>
    <w:rsid w:val="006B5FC4"/>
    <w:rsid w:val="006C3E4A"/>
    <w:rsid w:val="006D2D25"/>
    <w:rsid w:val="006D5CA0"/>
    <w:rsid w:val="006D7E82"/>
    <w:rsid w:val="006E6CD7"/>
    <w:rsid w:val="006F2B39"/>
    <w:rsid w:val="006F4563"/>
    <w:rsid w:val="006F6908"/>
    <w:rsid w:val="007013FA"/>
    <w:rsid w:val="00701AB9"/>
    <w:rsid w:val="007051C5"/>
    <w:rsid w:val="00706729"/>
    <w:rsid w:val="00707473"/>
    <w:rsid w:val="007162BA"/>
    <w:rsid w:val="007231D9"/>
    <w:rsid w:val="0072343F"/>
    <w:rsid w:val="00723B1E"/>
    <w:rsid w:val="0072663D"/>
    <w:rsid w:val="00733D82"/>
    <w:rsid w:val="00737294"/>
    <w:rsid w:val="00740C16"/>
    <w:rsid w:val="007418C5"/>
    <w:rsid w:val="00744D59"/>
    <w:rsid w:val="00745516"/>
    <w:rsid w:val="0074679E"/>
    <w:rsid w:val="00747009"/>
    <w:rsid w:val="0075012D"/>
    <w:rsid w:val="007513E5"/>
    <w:rsid w:val="00762C85"/>
    <w:rsid w:val="00762D5C"/>
    <w:rsid w:val="00763A35"/>
    <w:rsid w:val="00763B37"/>
    <w:rsid w:val="00763BEB"/>
    <w:rsid w:val="00765FBB"/>
    <w:rsid w:val="00772B8E"/>
    <w:rsid w:val="007738AF"/>
    <w:rsid w:val="00775BB5"/>
    <w:rsid w:val="00777B42"/>
    <w:rsid w:val="00780144"/>
    <w:rsid w:val="007813DD"/>
    <w:rsid w:val="007907E2"/>
    <w:rsid w:val="007909F4"/>
    <w:rsid w:val="00792F79"/>
    <w:rsid w:val="00794E57"/>
    <w:rsid w:val="007A142D"/>
    <w:rsid w:val="007A2D4B"/>
    <w:rsid w:val="007A6695"/>
    <w:rsid w:val="007B1D23"/>
    <w:rsid w:val="007B2E92"/>
    <w:rsid w:val="007C2970"/>
    <w:rsid w:val="007C6F0B"/>
    <w:rsid w:val="007E1E0B"/>
    <w:rsid w:val="007E2EF5"/>
    <w:rsid w:val="007F133C"/>
    <w:rsid w:val="007F6610"/>
    <w:rsid w:val="007F6B62"/>
    <w:rsid w:val="0080182F"/>
    <w:rsid w:val="00803052"/>
    <w:rsid w:val="00811829"/>
    <w:rsid w:val="008145DC"/>
    <w:rsid w:val="00815559"/>
    <w:rsid w:val="00820475"/>
    <w:rsid w:val="00822D21"/>
    <w:rsid w:val="00823D15"/>
    <w:rsid w:val="0082579D"/>
    <w:rsid w:val="0083018C"/>
    <w:rsid w:val="008314A3"/>
    <w:rsid w:val="0083240D"/>
    <w:rsid w:val="00834BD1"/>
    <w:rsid w:val="00836F4E"/>
    <w:rsid w:val="0083745A"/>
    <w:rsid w:val="00837F63"/>
    <w:rsid w:val="0084312B"/>
    <w:rsid w:val="00851173"/>
    <w:rsid w:val="008552A0"/>
    <w:rsid w:val="00856996"/>
    <w:rsid w:val="008570FE"/>
    <w:rsid w:val="00861D8F"/>
    <w:rsid w:val="008705F2"/>
    <w:rsid w:val="00872144"/>
    <w:rsid w:val="00887505"/>
    <w:rsid w:val="00887E2B"/>
    <w:rsid w:val="00890A04"/>
    <w:rsid w:val="00895311"/>
    <w:rsid w:val="00895440"/>
    <w:rsid w:val="0089610E"/>
    <w:rsid w:val="008A1451"/>
    <w:rsid w:val="008A5312"/>
    <w:rsid w:val="008A5A73"/>
    <w:rsid w:val="008A679A"/>
    <w:rsid w:val="008A6E01"/>
    <w:rsid w:val="008C330E"/>
    <w:rsid w:val="008D4FCB"/>
    <w:rsid w:val="008E3996"/>
    <w:rsid w:val="008E3AC1"/>
    <w:rsid w:val="008E5003"/>
    <w:rsid w:val="008F091E"/>
    <w:rsid w:val="00903607"/>
    <w:rsid w:val="0090434E"/>
    <w:rsid w:val="00904D33"/>
    <w:rsid w:val="009168E3"/>
    <w:rsid w:val="00917394"/>
    <w:rsid w:val="00922472"/>
    <w:rsid w:val="00922E5B"/>
    <w:rsid w:val="00927411"/>
    <w:rsid w:val="00932B03"/>
    <w:rsid w:val="00942425"/>
    <w:rsid w:val="0094333F"/>
    <w:rsid w:val="00946987"/>
    <w:rsid w:val="00950CAA"/>
    <w:rsid w:val="00957E7C"/>
    <w:rsid w:val="009617D3"/>
    <w:rsid w:val="009626F9"/>
    <w:rsid w:val="0096320C"/>
    <w:rsid w:val="009669E6"/>
    <w:rsid w:val="00966AA7"/>
    <w:rsid w:val="009707AF"/>
    <w:rsid w:val="009765A9"/>
    <w:rsid w:val="00980827"/>
    <w:rsid w:val="00983FAD"/>
    <w:rsid w:val="009852E6"/>
    <w:rsid w:val="00985AA0"/>
    <w:rsid w:val="00985CAB"/>
    <w:rsid w:val="00986FB2"/>
    <w:rsid w:val="00987288"/>
    <w:rsid w:val="00993342"/>
    <w:rsid w:val="0099441C"/>
    <w:rsid w:val="0099632C"/>
    <w:rsid w:val="009977CF"/>
    <w:rsid w:val="009A6328"/>
    <w:rsid w:val="009A7595"/>
    <w:rsid w:val="009B45C3"/>
    <w:rsid w:val="009B65D5"/>
    <w:rsid w:val="009B734C"/>
    <w:rsid w:val="009B79D2"/>
    <w:rsid w:val="009C2EDA"/>
    <w:rsid w:val="009C3898"/>
    <w:rsid w:val="009C4673"/>
    <w:rsid w:val="009C6148"/>
    <w:rsid w:val="009D08D2"/>
    <w:rsid w:val="009D6751"/>
    <w:rsid w:val="009D76CD"/>
    <w:rsid w:val="009E00CC"/>
    <w:rsid w:val="009E030E"/>
    <w:rsid w:val="009F0294"/>
    <w:rsid w:val="009F5215"/>
    <w:rsid w:val="00A00900"/>
    <w:rsid w:val="00A018BC"/>
    <w:rsid w:val="00A02A6C"/>
    <w:rsid w:val="00A049F3"/>
    <w:rsid w:val="00A05285"/>
    <w:rsid w:val="00A05F7B"/>
    <w:rsid w:val="00A06638"/>
    <w:rsid w:val="00A06670"/>
    <w:rsid w:val="00A14551"/>
    <w:rsid w:val="00A15DE2"/>
    <w:rsid w:val="00A16114"/>
    <w:rsid w:val="00A1698B"/>
    <w:rsid w:val="00A17C76"/>
    <w:rsid w:val="00A214BA"/>
    <w:rsid w:val="00A23752"/>
    <w:rsid w:val="00A26D99"/>
    <w:rsid w:val="00A27839"/>
    <w:rsid w:val="00A366E1"/>
    <w:rsid w:val="00A5182F"/>
    <w:rsid w:val="00A52C48"/>
    <w:rsid w:val="00A5545E"/>
    <w:rsid w:val="00A571D0"/>
    <w:rsid w:val="00A57C48"/>
    <w:rsid w:val="00A62E28"/>
    <w:rsid w:val="00A64F97"/>
    <w:rsid w:val="00A70C59"/>
    <w:rsid w:val="00A73138"/>
    <w:rsid w:val="00A747DB"/>
    <w:rsid w:val="00A76AEA"/>
    <w:rsid w:val="00A8010E"/>
    <w:rsid w:val="00A80525"/>
    <w:rsid w:val="00A83F36"/>
    <w:rsid w:val="00A94C7E"/>
    <w:rsid w:val="00AA2A96"/>
    <w:rsid w:val="00AC002F"/>
    <w:rsid w:val="00AC5BB3"/>
    <w:rsid w:val="00AC7565"/>
    <w:rsid w:val="00AD0291"/>
    <w:rsid w:val="00AD74BB"/>
    <w:rsid w:val="00AE6391"/>
    <w:rsid w:val="00AE7831"/>
    <w:rsid w:val="00AE7FA9"/>
    <w:rsid w:val="00AF207C"/>
    <w:rsid w:val="00AF3C9D"/>
    <w:rsid w:val="00AF42CF"/>
    <w:rsid w:val="00B00F79"/>
    <w:rsid w:val="00B0166E"/>
    <w:rsid w:val="00B051F3"/>
    <w:rsid w:val="00B06EF4"/>
    <w:rsid w:val="00B071A6"/>
    <w:rsid w:val="00B34792"/>
    <w:rsid w:val="00B35B28"/>
    <w:rsid w:val="00B37293"/>
    <w:rsid w:val="00B405A4"/>
    <w:rsid w:val="00B435F1"/>
    <w:rsid w:val="00B44871"/>
    <w:rsid w:val="00B523F0"/>
    <w:rsid w:val="00B5273B"/>
    <w:rsid w:val="00B5284E"/>
    <w:rsid w:val="00B57C42"/>
    <w:rsid w:val="00B61938"/>
    <w:rsid w:val="00B66820"/>
    <w:rsid w:val="00B70C8A"/>
    <w:rsid w:val="00B71F90"/>
    <w:rsid w:val="00B726E8"/>
    <w:rsid w:val="00B74733"/>
    <w:rsid w:val="00B843EA"/>
    <w:rsid w:val="00B8530C"/>
    <w:rsid w:val="00B9087B"/>
    <w:rsid w:val="00B92185"/>
    <w:rsid w:val="00B95230"/>
    <w:rsid w:val="00BA050A"/>
    <w:rsid w:val="00BA3125"/>
    <w:rsid w:val="00BB1BD6"/>
    <w:rsid w:val="00BB758F"/>
    <w:rsid w:val="00BB7ED7"/>
    <w:rsid w:val="00BC0198"/>
    <w:rsid w:val="00BC035D"/>
    <w:rsid w:val="00BC6CBA"/>
    <w:rsid w:val="00BC7611"/>
    <w:rsid w:val="00BD21E6"/>
    <w:rsid w:val="00BD2738"/>
    <w:rsid w:val="00BD3012"/>
    <w:rsid w:val="00BD6EF8"/>
    <w:rsid w:val="00BE0FF3"/>
    <w:rsid w:val="00BE44F2"/>
    <w:rsid w:val="00BE6430"/>
    <w:rsid w:val="00BE75DD"/>
    <w:rsid w:val="00BF4C3D"/>
    <w:rsid w:val="00C00032"/>
    <w:rsid w:val="00C04598"/>
    <w:rsid w:val="00C23E24"/>
    <w:rsid w:val="00C24C4A"/>
    <w:rsid w:val="00C265D2"/>
    <w:rsid w:val="00C26696"/>
    <w:rsid w:val="00C31E4C"/>
    <w:rsid w:val="00C43281"/>
    <w:rsid w:val="00C44F43"/>
    <w:rsid w:val="00C460BA"/>
    <w:rsid w:val="00C53AFA"/>
    <w:rsid w:val="00C603E7"/>
    <w:rsid w:val="00C63C2D"/>
    <w:rsid w:val="00C6617E"/>
    <w:rsid w:val="00C71B6C"/>
    <w:rsid w:val="00C725AD"/>
    <w:rsid w:val="00C770E8"/>
    <w:rsid w:val="00C80C78"/>
    <w:rsid w:val="00C86EB6"/>
    <w:rsid w:val="00C8790A"/>
    <w:rsid w:val="00C910CC"/>
    <w:rsid w:val="00C9763B"/>
    <w:rsid w:val="00CA4761"/>
    <w:rsid w:val="00CA4934"/>
    <w:rsid w:val="00CA7779"/>
    <w:rsid w:val="00CB30EE"/>
    <w:rsid w:val="00CC4F4A"/>
    <w:rsid w:val="00CC55F7"/>
    <w:rsid w:val="00CD2D08"/>
    <w:rsid w:val="00CE43BA"/>
    <w:rsid w:val="00CE4CD5"/>
    <w:rsid w:val="00CF2A31"/>
    <w:rsid w:val="00CF3E96"/>
    <w:rsid w:val="00CF3EA6"/>
    <w:rsid w:val="00CF4202"/>
    <w:rsid w:val="00CF73C7"/>
    <w:rsid w:val="00D044EF"/>
    <w:rsid w:val="00D10B97"/>
    <w:rsid w:val="00D12AC8"/>
    <w:rsid w:val="00D16C4C"/>
    <w:rsid w:val="00D16E0C"/>
    <w:rsid w:val="00D24313"/>
    <w:rsid w:val="00D24689"/>
    <w:rsid w:val="00D24AC7"/>
    <w:rsid w:val="00D36A8D"/>
    <w:rsid w:val="00D37613"/>
    <w:rsid w:val="00D4050F"/>
    <w:rsid w:val="00D40786"/>
    <w:rsid w:val="00D4358A"/>
    <w:rsid w:val="00D45049"/>
    <w:rsid w:val="00D5462D"/>
    <w:rsid w:val="00D54E76"/>
    <w:rsid w:val="00D5563D"/>
    <w:rsid w:val="00D626D0"/>
    <w:rsid w:val="00D646B0"/>
    <w:rsid w:val="00D65131"/>
    <w:rsid w:val="00D65DCD"/>
    <w:rsid w:val="00D732CD"/>
    <w:rsid w:val="00D750F4"/>
    <w:rsid w:val="00D84F2B"/>
    <w:rsid w:val="00D85AD3"/>
    <w:rsid w:val="00D87114"/>
    <w:rsid w:val="00D92300"/>
    <w:rsid w:val="00D95237"/>
    <w:rsid w:val="00D96A8B"/>
    <w:rsid w:val="00DB2892"/>
    <w:rsid w:val="00DB5E7F"/>
    <w:rsid w:val="00DC3AA1"/>
    <w:rsid w:val="00DD2575"/>
    <w:rsid w:val="00DD34A2"/>
    <w:rsid w:val="00DD5FEC"/>
    <w:rsid w:val="00DE2245"/>
    <w:rsid w:val="00DE28CB"/>
    <w:rsid w:val="00DE40AC"/>
    <w:rsid w:val="00DE4A45"/>
    <w:rsid w:val="00DF0962"/>
    <w:rsid w:val="00DF2369"/>
    <w:rsid w:val="00DF30D6"/>
    <w:rsid w:val="00E121A3"/>
    <w:rsid w:val="00E14E71"/>
    <w:rsid w:val="00E17609"/>
    <w:rsid w:val="00E32376"/>
    <w:rsid w:val="00E34163"/>
    <w:rsid w:val="00E35D77"/>
    <w:rsid w:val="00E404E3"/>
    <w:rsid w:val="00E44A54"/>
    <w:rsid w:val="00E50530"/>
    <w:rsid w:val="00E51EBD"/>
    <w:rsid w:val="00E53F30"/>
    <w:rsid w:val="00E54021"/>
    <w:rsid w:val="00E54536"/>
    <w:rsid w:val="00E63208"/>
    <w:rsid w:val="00E644D5"/>
    <w:rsid w:val="00E71ADA"/>
    <w:rsid w:val="00E741FB"/>
    <w:rsid w:val="00E77482"/>
    <w:rsid w:val="00E870F7"/>
    <w:rsid w:val="00E90B38"/>
    <w:rsid w:val="00E940FE"/>
    <w:rsid w:val="00E97CAF"/>
    <w:rsid w:val="00EA5609"/>
    <w:rsid w:val="00EB2427"/>
    <w:rsid w:val="00EC0A02"/>
    <w:rsid w:val="00EC2450"/>
    <w:rsid w:val="00EC3E78"/>
    <w:rsid w:val="00EC68D5"/>
    <w:rsid w:val="00ED7E76"/>
    <w:rsid w:val="00EE2438"/>
    <w:rsid w:val="00EE58DB"/>
    <w:rsid w:val="00EE7796"/>
    <w:rsid w:val="00EF0FA5"/>
    <w:rsid w:val="00EF1FDD"/>
    <w:rsid w:val="00EF71B4"/>
    <w:rsid w:val="00F00E8C"/>
    <w:rsid w:val="00F07B02"/>
    <w:rsid w:val="00F16859"/>
    <w:rsid w:val="00F207A4"/>
    <w:rsid w:val="00F253D7"/>
    <w:rsid w:val="00F30E26"/>
    <w:rsid w:val="00F332EF"/>
    <w:rsid w:val="00F35523"/>
    <w:rsid w:val="00F37705"/>
    <w:rsid w:val="00F37F6E"/>
    <w:rsid w:val="00F440B7"/>
    <w:rsid w:val="00F46080"/>
    <w:rsid w:val="00F52FDC"/>
    <w:rsid w:val="00F54463"/>
    <w:rsid w:val="00F54A3B"/>
    <w:rsid w:val="00F6182A"/>
    <w:rsid w:val="00F61C19"/>
    <w:rsid w:val="00F6348C"/>
    <w:rsid w:val="00F640BD"/>
    <w:rsid w:val="00F738F5"/>
    <w:rsid w:val="00F73F25"/>
    <w:rsid w:val="00F762C9"/>
    <w:rsid w:val="00F77A14"/>
    <w:rsid w:val="00F80673"/>
    <w:rsid w:val="00F8590B"/>
    <w:rsid w:val="00F91D6B"/>
    <w:rsid w:val="00F93410"/>
    <w:rsid w:val="00FA070B"/>
    <w:rsid w:val="00FB12BF"/>
    <w:rsid w:val="00FB38E3"/>
    <w:rsid w:val="00FB4CCE"/>
    <w:rsid w:val="00FC1C9E"/>
    <w:rsid w:val="00FC3B65"/>
    <w:rsid w:val="00FD44A9"/>
    <w:rsid w:val="00FD52B5"/>
    <w:rsid w:val="00FD6EEA"/>
    <w:rsid w:val="00FE22A7"/>
    <w:rsid w:val="00FE685F"/>
    <w:rsid w:val="00FE750B"/>
    <w:rsid w:val="00FF0B5D"/>
    <w:rsid w:val="00FF0E67"/>
    <w:rsid w:val="00FF5E1E"/>
    <w:rsid w:val="00FF75E4"/>
    <w:rsid w:val="00FF77C6"/>
    <w:rsid w:val="014C132E"/>
    <w:rsid w:val="017117FD"/>
    <w:rsid w:val="01905B72"/>
    <w:rsid w:val="023512AC"/>
    <w:rsid w:val="025816D0"/>
    <w:rsid w:val="03022280"/>
    <w:rsid w:val="031B37D4"/>
    <w:rsid w:val="0396105D"/>
    <w:rsid w:val="03C85BD1"/>
    <w:rsid w:val="05272903"/>
    <w:rsid w:val="058B1DED"/>
    <w:rsid w:val="076E6040"/>
    <w:rsid w:val="0A4C5799"/>
    <w:rsid w:val="0AC0344D"/>
    <w:rsid w:val="0ADD11E0"/>
    <w:rsid w:val="0CC000DD"/>
    <w:rsid w:val="0CEF7946"/>
    <w:rsid w:val="0D475DD6"/>
    <w:rsid w:val="0D591574"/>
    <w:rsid w:val="0E354BA9"/>
    <w:rsid w:val="0EB25028"/>
    <w:rsid w:val="0F970E6F"/>
    <w:rsid w:val="0FF85D85"/>
    <w:rsid w:val="10444052"/>
    <w:rsid w:val="127F69EA"/>
    <w:rsid w:val="12F41825"/>
    <w:rsid w:val="13B74DE6"/>
    <w:rsid w:val="13C964A5"/>
    <w:rsid w:val="1475649E"/>
    <w:rsid w:val="1533769B"/>
    <w:rsid w:val="162B00EE"/>
    <w:rsid w:val="16445414"/>
    <w:rsid w:val="176F167E"/>
    <w:rsid w:val="19011E74"/>
    <w:rsid w:val="19F61B94"/>
    <w:rsid w:val="1BEC4EE7"/>
    <w:rsid w:val="1C1D168F"/>
    <w:rsid w:val="1C6A5BB9"/>
    <w:rsid w:val="1C9F4E72"/>
    <w:rsid w:val="1CC3002A"/>
    <w:rsid w:val="1D1F3AD3"/>
    <w:rsid w:val="1F9C23E0"/>
    <w:rsid w:val="202408C8"/>
    <w:rsid w:val="22186EB1"/>
    <w:rsid w:val="222D6CF5"/>
    <w:rsid w:val="23DA1C5E"/>
    <w:rsid w:val="249C1D1C"/>
    <w:rsid w:val="24E22490"/>
    <w:rsid w:val="251169F0"/>
    <w:rsid w:val="254856B7"/>
    <w:rsid w:val="256B51A0"/>
    <w:rsid w:val="27AC2DF2"/>
    <w:rsid w:val="27CD08D9"/>
    <w:rsid w:val="287B1578"/>
    <w:rsid w:val="288A2311"/>
    <w:rsid w:val="28AB3808"/>
    <w:rsid w:val="2B3E4899"/>
    <w:rsid w:val="2B6472BC"/>
    <w:rsid w:val="2D8F740B"/>
    <w:rsid w:val="2DE81872"/>
    <w:rsid w:val="2E222658"/>
    <w:rsid w:val="2E97085F"/>
    <w:rsid w:val="2EBA0FB6"/>
    <w:rsid w:val="2F700F60"/>
    <w:rsid w:val="31016B71"/>
    <w:rsid w:val="315D2D09"/>
    <w:rsid w:val="32BC3F4B"/>
    <w:rsid w:val="33087DBE"/>
    <w:rsid w:val="33222F56"/>
    <w:rsid w:val="339C103A"/>
    <w:rsid w:val="34224B16"/>
    <w:rsid w:val="34BC1492"/>
    <w:rsid w:val="359B4597"/>
    <w:rsid w:val="37417387"/>
    <w:rsid w:val="381C311D"/>
    <w:rsid w:val="3980129D"/>
    <w:rsid w:val="3A301503"/>
    <w:rsid w:val="3A5C4FE3"/>
    <w:rsid w:val="3A653F5C"/>
    <w:rsid w:val="3BE940D8"/>
    <w:rsid w:val="3BF5431D"/>
    <w:rsid w:val="3C6C46B1"/>
    <w:rsid w:val="3C73403C"/>
    <w:rsid w:val="3CEB6430"/>
    <w:rsid w:val="3DB03A43"/>
    <w:rsid w:val="3E321758"/>
    <w:rsid w:val="3E3826A3"/>
    <w:rsid w:val="3EBA7779"/>
    <w:rsid w:val="409B2598"/>
    <w:rsid w:val="41795FF8"/>
    <w:rsid w:val="4185788C"/>
    <w:rsid w:val="426D6B6D"/>
    <w:rsid w:val="42BA7C89"/>
    <w:rsid w:val="42E162E8"/>
    <w:rsid w:val="439A14F5"/>
    <w:rsid w:val="43B533A4"/>
    <w:rsid w:val="43F5297E"/>
    <w:rsid w:val="44547A2A"/>
    <w:rsid w:val="44C4575F"/>
    <w:rsid w:val="45AA4009"/>
    <w:rsid w:val="45B57299"/>
    <w:rsid w:val="46E6047B"/>
    <w:rsid w:val="4A197A42"/>
    <w:rsid w:val="4B5A0AC9"/>
    <w:rsid w:val="4D131D04"/>
    <w:rsid w:val="4D1A6F0E"/>
    <w:rsid w:val="4EA355F9"/>
    <w:rsid w:val="52E75E08"/>
    <w:rsid w:val="53D37179"/>
    <w:rsid w:val="5410510C"/>
    <w:rsid w:val="54791FA3"/>
    <w:rsid w:val="54C855A5"/>
    <w:rsid w:val="55587413"/>
    <w:rsid w:val="569012B1"/>
    <w:rsid w:val="57466D9C"/>
    <w:rsid w:val="57FC4BC1"/>
    <w:rsid w:val="5AA31EC3"/>
    <w:rsid w:val="5DD67E14"/>
    <w:rsid w:val="5DE30E18"/>
    <w:rsid w:val="5F1037B4"/>
    <w:rsid w:val="5F417953"/>
    <w:rsid w:val="5F911BAE"/>
    <w:rsid w:val="5FA266F3"/>
    <w:rsid w:val="5FD049C0"/>
    <w:rsid w:val="607D515C"/>
    <w:rsid w:val="632905BE"/>
    <w:rsid w:val="63DE0FE6"/>
    <w:rsid w:val="65975DB9"/>
    <w:rsid w:val="65BB08A2"/>
    <w:rsid w:val="665B0751"/>
    <w:rsid w:val="669811DF"/>
    <w:rsid w:val="66F71449"/>
    <w:rsid w:val="674A6A84"/>
    <w:rsid w:val="68B0184E"/>
    <w:rsid w:val="68C55C40"/>
    <w:rsid w:val="68F100BA"/>
    <w:rsid w:val="6AFD5CE0"/>
    <w:rsid w:val="6BA42B26"/>
    <w:rsid w:val="6BAA22A9"/>
    <w:rsid w:val="6C0D6CD2"/>
    <w:rsid w:val="6C600CDA"/>
    <w:rsid w:val="6EF44517"/>
    <w:rsid w:val="73607959"/>
    <w:rsid w:val="75FF7EA2"/>
    <w:rsid w:val="78515493"/>
    <w:rsid w:val="793876EF"/>
    <w:rsid w:val="79E03380"/>
    <w:rsid w:val="7A1F66E8"/>
    <w:rsid w:val="7AAC3B07"/>
    <w:rsid w:val="7AE3281C"/>
    <w:rsid w:val="7AE52C2E"/>
    <w:rsid w:val="7AE847C1"/>
    <w:rsid w:val="7B4C4049"/>
    <w:rsid w:val="7C5C1516"/>
    <w:rsid w:val="7D5826B2"/>
    <w:rsid w:val="7E1A2770"/>
    <w:rsid w:val="7EE26036"/>
    <w:rsid w:val="7F966A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300" w:lineRule="auto"/>
      <w:jc w:val="both"/>
      <w:textAlignment w:val="baseline"/>
    </w:pPr>
    <w:rPr>
      <w:rFonts w:ascii="Times New Roman" w:hAnsi="Times New Roman" w:eastAsia="宋体" w:cs="Times New Roman"/>
      <w:sz w:val="22"/>
      <w:lang w:val="en-US" w:eastAsia="zh-CN" w:bidi="ar-SA"/>
    </w:rPr>
  </w:style>
  <w:style w:type="paragraph" w:styleId="2">
    <w:name w:val="heading 1"/>
    <w:next w:val="1"/>
    <w:link w:val="38"/>
    <w:qFormat/>
    <w:uiPriority w:val="0"/>
    <w:pPr>
      <w:keepNext/>
      <w:numPr>
        <w:ilvl w:val="0"/>
        <w:numId w:val="1"/>
      </w:numPr>
      <w:spacing w:before="240" w:after="240"/>
      <w:jc w:val="both"/>
      <w:outlineLvl w:val="0"/>
    </w:pPr>
    <w:rPr>
      <w:rFonts w:ascii="Arial" w:hAnsi="Arial" w:eastAsia="黑体" w:cs="Times New Roman"/>
      <w:b/>
      <w:sz w:val="32"/>
      <w:szCs w:val="32"/>
      <w:lang w:val="en-US" w:eastAsia="zh-CN" w:bidi="ar-SA"/>
    </w:rPr>
  </w:style>
  <w:style w:type="paragraph" w:styleId="3">
    <w:name w:val="heading 2"/>
    <w:basedOn w:val="2"/>
    <w:next w:val="1"/>
    <w:qFormat/>
    <w:uiPriority w:val="0"/>
    <w:pPr>
      <w:keepNext/>
      <w:numPr>
        <w:ilvl w:val="1"/>
        <w:numId w:val="1"/>
      </w:numPr>
      <w:tabs>
        <w:tab w:val="clear" w:pos="432"/>
      </w:tabs>
      <w:spacing w:before="120" w:after="120"/>
      <w:jc w:val="both"/>
      <w:outlineLvl w:val="1"/>
    </w:pPr>
    <w:rPr>
      <w:rFonts w:ascii="Arial" w:hAnsi="Arial" w:eastAsia="黑体" w:cs="Times New Roman"/>
      <w:sz w:val="28"/>
      <w:szCs w:val="24"/>
      <w:lang w:val="en-US" w:eastAsia="zh-CN" w:bidi="ar-SA"/>
    </w:rPr>
  </w:style>
  <w:style w:type="paragraph" w:styleId="4">
    <w:name w:val="heading 3"/>
    <w:basedOn w:val="1"/>
    <w:next w:val="1"/>
    <w:qFormat/>
    <w:uiPriority w:val="0"/>
    <w:pPr>
      <w:keepNext/>
      <w:keepLines/>
      <w:numPr>
        <w:ilvl w:val="2"/>
        <w:numId w:val="1"/>
      </w:numPr>
      <w:autoSpaceDE/>
      <w:autoSpaceDN/>
      <w:adjustRightInd/>
      <w:spacing w:before="120" w:after="120" w:line="415" w:lineRule="auto"/>
      <w:outlineLvl w:val="2"/>
    </w:pPr>
    <w:rPr>
      <w:rFonts w:ascii="Arial" w:hAnsi="Arial" w:eastAsia="Arial"/>
      <w:bCs/>
      <w:kern w:val="2"/>
      <w:sz w:val="24"/>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styleId="5">
    <w:name w:val="caption"/>
    <w:basedOn w:val="1"/>
    <w:next w:val="1"/>
    <w:link w:val="46"/>
    <w:qFormat/>
    <w:uiPriority w:val="0"/>
    <w:pPr>
      <w:overflowPunct/>
      <w:snapToGrid w:val="0"/>
      <w:spacing w:after="120" w:line="240" w:lineRule="auto"/>
      <w:jc w:val="center"/>
      <w:textAlignment w:val="auto"/>
    </w:pPr>
    <w:rPr>
      <w:b/>
      <w:bCs/>
      <w:sz w:val="20"/>
      <w:lang w:eastAsia="en-US"/>
    </w:rPr>
  </w:style>
  <w:style w:type="paragraph" w:styleId="6">
    <w:name w:val="annotation text"/>
    <w:basedOn w:val="1"/>
    <w:link w:val="34"/>
    <w:semiHidden/>
    <w:qFormat/>
    <w:uiPriority w:val="0"/>
  </w:style>
  <w:style w:type="paragraph" w:styleId="7">
    <w:name w:val="Body Text"/>
    <w:basedOn w:val="1"/>
    <w:link w:val="43"/>
    <w:semiHidden/>
    <w:unhideWhenUsed/>
    <w:qFormat/>
    <w:uiPriority w:val="0"/>
    <w:pPr>
      <w:spacing w:after="120"/>
    </w:pPr>
  </w:style>
  <w:style w:type="paragraph" w:styleId="8">
    <w:name w:val="Balloon Text"/>
    <w:basedOn w:val="1"/>
    <w:link w:val="32"/>
    <w:qFormat/>
    <w:uiPriority w:val="0"/>
    <w:pPr>
      <w:spacing w:line="240" w:lineRule="auto"/>
    </w:pPr>
    <w:rPr>
      <w:sz w:val="18"/>
      <w:szCs w:val="18"/>
    </w:rPr>
  </w:style>
  <w:style w:type="paragraph" w:styleId="9">
    <w:name w:val="footer"/>
    <w:qFormat/>
    <w:uiPriority w:val="0"/>
    <w:pPr>
      <w:tabs>
        <w:tab w:val="center" w:pos="4510"/>
        <w:tab w:val="right" w:pos="9020"/>
      </w:tabs>
    </w:pPr>
    <w:rPr>
      <w:rFonts w:ascii="Arial" w:hAnsi="Arial" w:eastAsia="宋体" w:cs="Times New Roman"/>
      <w:sz w:val="18"/>
      <w:szCs w:val="18"/>
      <w:lang w:val="en-US" w:eastAsia="zh-CN" w:bidi="ar-SA"/>
    </w:rPr>
  </w:style>
  <w:style w:type="paragraph" w:styleId="10">
    <w:name w:val="header"/>
    <w:basedOn w:val="1"/>
    <w:link w:val="60"/>
    <w:qFormat/>
    <w:uiPriority w:val="0"/>
    <w:pPr>
      <w:tabs>
        <w:tab w:val="center" w:pos="4153"/>
        <w:tab w:val="right" w:pos="8306"/>
      </w:tabs>
      <w:snapToGrid w:val="0"/>
      <w:jc w:val="both"/>
    </w:pPr>
    <w:rPr>
      <w:rFonts w:ascii="Arial" w:hAnsi="Arial" w:eastAsia="宋体" w:cs="Times New Roman"/>
      <w:sz w:val="18"/>
      <w:szCs w:val="18"/>
      <w:lang w:val="en-US" w:eastAsia="zh-CN" w:bidi="ar-SA"/>
    </w:rPr>
  </w:style>
  <w:style w:type="paragraph" w:styleId="11">
    <w:name w:val="Normal (Web)"/>
    <w:basedOn w:val="1"/>
    <w:unhideWhenUsed/>
    <w:qFormat/>
    <w:uiPriority w:val="99"/>
    <w:pPr>
      <w:overflowPunct/>
      <w:autoSpaceDE/>
      <w:autoSpaceDN/>
      <w:adjustRightInd/>
      <w:spacing w:before="100" w:beforeAutospacing="1" w:after="100" w:afterAutospacing="1"/>
      <w:textAlignment w:val="auto"/>
    </w:pPr>
    <w:rPr>
      <w:sz w:val="24"/>
      <w:szCs w:val="24"/>
      <w:lang w:eastAsia="en-US"/>
    </w:rPr>
  </w:style>
  <w:style w:type="paragraph" w:styleId="12">
    <w:name w:val="Title"/>
    <w:basedOn w:val="3"/>
    <w:link w:val="35"/>
    <w:qFormat/>
    <w:uiPriority w:val="10"/>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paragraph" w:styleId="13">
    <w:name w:val="annotation subject"/>
    <w:basedOn w:val="6"/>
    <w:next w:val="6"/>
    <w:link w:val="48"/>
    <w:semiHidden/>
    <w:unhideWhenUsed/>
    <w:qFormat/>
    <w:uiPriority w:val="0"/>
    <w:pPr>
      <w:jc w:val="left"/>
    </w:pPr>
    <w:rPr>
      <w:b/>
      <w:bCs/>
    </w:rPr>
  </w:style>
  <w:style w:type="table" w:styleId="15">
    <w:name w:val="Table Grid"/>
    <w:basedOn w:val="14"/>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bCs/>
    </w:rPr>
  </w:style>
  <w:style w:type="character" w:styleId="18">
    <w:name w:val="annotation reference"/>
    <w:semiHidden/>
    <w:qFormat/>
    <w:uiPriority w:val="0"/>
    <w:rPr>
      <w:sz w:val="16"/>
      <w:szCs w:val="16"/>
    </w:rPr>
  </w:style>
  <w:style w:type="paragraph" w:customStyle="1" w:styleId="19">
    <w:name w:val="表格题注"/>
    <w:next w:val="1"/>
    <w:qFormat/>
    <w:uiPriority w:val="0"/>
    <w:pPr>
      <w:keepLines/>
      <w:numPr>
        <w:ilvl w:val="8"/>
        <w:numId w:val="2"/>
      </w:numPr>
      <w:spacing w:beforeLines="100"/>
      <w:ind w:left="1089" w:hanging="369"/>
      <w:jc w:val="center"/>
    </w:pPr>
    <w:rPr>
      <w:rFonts w:ascii="Arial" w:hAnsi="Arial" w:eastAsia="宋体" w:cs="Times New Roman"/>
      <w:sz w:val="18"/>
      <w:szCs w:val="18"/>
      <w:lang w:val="en-US" w:eastAsia="zh-CN" w:bidi="ar-SA"/>
    </w:rPr>
  </w:style>
  <w:style w:type="paragraph" w:customStyle="1" w:styleId="20">
    <w:name w:val="表格文本"/>
    <w:qFormat/>
    <w:uiPriority w:val="0"/>
    <w:pPr>
      <w:tabs>
        <w:tab w:val="decimal" w:pos="0"/>
      </w:tabs>
    </w:pPr>
    <w:rPr>
      <w:rFonts w:ascii="Arial" w:hAnsi="Arial" w:eastAsia="宋体" w:cs="Times New Roman"/>
      <w:sz w:val="21"/>
      <w:szCs w:val="21"/>
      <w:lang w:val="en-US" w:eastAsia="zh-CN" w:bidi="ar-SA"/>
    </w:rPr>
  </w:style>
  <w:style w:type="paragraph" w:customStyle="1" w:styleId="21">
    <w:name w:val="表头文本"/>
    <w:qFormat/>
    <w:uiPriority w:val="0"/>
    <w:pPr>
      <w:jc w:val="center"/>
    </w:pPr>
    <w:rPr>
      <w:rFonts w:ascii="Arial" w:hAnsi="Arial" w:eastAsia="宋体" w:cs="Times New Roman"/>
      <w:b/>
      <w:sz w:val="21"/>
      <w:szCs w:val="21"/>
      <w:lang w:val="en-US" w:eastAsia="zh-CN" w:bidi="ar-SA"/>
    </w:rPr>
  </w:style>
  <w:style w:type="table" w:customStyle="1" w:styleId="22">
    <w:name w:val="表样式"/>
    <w:basedOn w:val="14"/>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23">
    <w:name w:val="插图题注"/>
    <w:next w:val="1"/>
    <w:qFormat/>
    <w:uiPriority w:val="0"/>
    <w:pPr>
      <w:numPr>
        <w:ilvl w:val="7"/>
        <w:numId w:val="2"/>
      </w:numPr>
      <w:spacing w:afterLines="100"/>
      <w:ind w:left="1089" w:hanging="369"/>
      <w:jc w:val="center"/>
    </w:pPr>
    <w:rPr>
      <w:rFonts w:ascii="Arial" w:hAnsi="Arial" w:eastAsia="宋体" w:cs="Times New Roman"/>
      <w:sz w:val="18"/>
      <w:szCs w:val="18"/>
      <w:lang w:val="en-US" w:eastAsia="zh-CN" w:bidi="ar-SA"/>
    </w:rPr>
  </w:style>
  <w:style w:type="paragraph" w:customStyle="1" w:styleId="24">
    <w:name w:val="图样式"/>
    <w:basedOn w:val="1"/>
    <w:qFormat/>
    <w:uiPriority w:val="0"/>
    <w:pPr>
      <w:keepNext/>
      <w:spacing w:before="80" w:after="80"/>
      <w:jc w:val="center"/>
    </w:pPr>
  </w:style>
  <w:style w:type="paragraph" w:customStyle="1" w:styleId="25">
    <w:name w:val="文档标题"/>
    <w:basedOn w:val="1"/>
    <w:qFormat/>
    <w:uiPriority w:val="0"/>
    <w:pPr>
      <w:tabs>
        <w:tab w:val="left" w:pos="0"/>
      </w:tabs>
      <w:spacing w:before="300" w:after="300"/>
      <w:jc w:val="center"/>
    </w:pPr>
    <w:rPr>
      <w:rFonts w:ascii="Arial" w:hAnsi="Arial" w:eastAsia="黑体"/>
      <w:sz w:val="36"/>
      <w:szCs w:val="36"/>
    </w:rPr>
  </w:style>
  <w:style w:type="paragraph" w:customStyle="1" w:styleId="26">
    <w:name w:val="正文（首行不缩进）"/>
    <w:basedOn w:val="1"/>
    <w:qFormat/>
    <w:uiPriority w:val="0"/>
  </w:style>
  <w:style w:type="paragraph" w:customStyle="1" w:styleId="27">
    <w:name w:val="注示头"/>
    <w:basedOn w:val="1"/>
    <w:qFormat/>
    <w:uiPriority w:val="0"/>
    <w:pPr>
      <w:pBdr>
        <w:top w:val="single" w:color="000000" w:sz="4" w:space="1"/>
      </w:pBdr>
    </w:pPr>
    <w:rPr>
      <w:rFonts w:ascii="Arial" w:hAnsi="Arial" w:eastAsia="黑体"/>
      <w:sz w:val="18"/>
    </w:rPr>
  </w:style>
  <w:style w:type="paragraph" w:customStyle="1" w:styleId="28">
    <w:name w:val="注示文本"/>
    <w:basedOn w:val="1"/>
    <w:qFormat/>
    <w:uiPriority w:val="0"/>
    <w:pPr>
      <w:pBdr>
        <w:bottom w:val="single" w:color="000000" w:sz="4" w:space="1"/>
      </w:pBdr>
      <w:ind w:firstLine="360"/>
    </w:pPr>
    <w:rPr>
      <w:rFonts w:ascii="Arial" w:hAnsi="Arial" w:eastAsia="楷体_GB2312"/>
      <w:sz w:val="18"/>
      <w:szCs w:val="18"/>
    </w:rPr>
  </w:style>
  <w:style w:type="paragraph" w:customStyle="1" w:styleId="29">
    <w:name w:val="编写建议"/>
    <w:basedOn w:val="1"/>
    <w:qFormat/>
    <w:uiPriority w:val="0"/>
    <w:pPr>
      <w:ind w:firstLine="420"/>
    </w:pPr>
    <w:rPr>
      <w:rFonts w:ascii="Arial" w:hAnsi="Arial" w:cs="Arial"/>
      <w:i/>
      <w:color w:val="0000FF"/>
    </w:rPr>
  </w:style>
  <w:style w:type="character" w:customStyle="1" w:styleId="30">
    <w:name w:val="样式一"/>
    <w:basedOn w:val="16"/>
    <w:qFormat/>
    <w:uiPriority w:val="0"/>
    <w:rPr>
      <w:rFonts w:ascii="宋体" w:hAnsi="宋体"/>
      <w:b/>
      <w:bCs/>
      <w:color w:val="000000"/>
      <w:sz w:val="36"/>
    </w:rPr>
  </w:style>
  <w:style w:type="character" w:customStyle="1" w:styleId="31">
    <w:name w:val="样式二"/>
    <w:basedOn w:val="30"/>
    <w:qFormat/>
    <w:uiPriority w:val="0"/>
    <w:rPr>
      <w:rFonts w:ascii="宋体" w:hAnsi="宋体"/>
      <w:color w:val="000000"/>
      <w:sz w:val="36"/>
    </w:rPr>
  </w:style>
  <w:style w:type="character" w:customStyle="1" w:styleId="32">
    <w:name w:val="批注框文本 字符"/>
    <w:basedOn w:val="16"/>
    <w:link w:val="8"/>
    <w:qFormat/>
    <w:uiPriority w:val="0"/>
    <w:rPr>
      <w:snapToGrid w:val="0"/>
      <w:sz w:val="18"/>
      <w:szCs w:val="18"/>
    </w:rPr>
  </w:style>
  <w:style w:type="paragraph" w:styleId="33">
    <w:name w:val="List Paragraph"/>
    <w:basedOn w:val="1"/>
    <w:link w:val="37"/>
    <w:qFormat/>
    <w:uiPriority w:val="34"/>
    <w:pPr>
      <w:ind w:firstLine="420" w:firstLineChars="200"/>
    </w:pPr>
  </w:style>
  <w:style w:type="character" w:customStyle="1" w:styleId="34">
    <w:name w:val="批注文字 字符"/>
    <w:basedOn w:val="16"/>
    <w:link w:val="6"/>
    <w:semiHidden/>
    <w:qFormat/>
    <w:uiPriority w:val="0"/>
    <w:rPr>
      <w:sz w:val="22"/>
    </w:rPr>
  </w:style>
  <w:style w:type="character" w:customStyle="1" w:styleId="35">
    <w:name w:val="标题 字符"/>
    <w:basedOn w:val="16"/>
    <w:link w:val="12"/>
    <w:qFormat/>
    <w:uiPriority w:val="10"/>
    <w:rPr>
      <w:rFonts w:ascii="Arial" w:hAnsi="Arial" w:eastAsia="Arial"/>
      <w:sz w:val="30"/>
      <w:lang w:val="de-DE" w:eastAsia="en-US"/>
    </w:rPr>
  </w:style>
  <w:style w:type="paragraph" w:customStyle="1" w:styleId="36">
    <w:name w:val="Medium Grid 1 - Accent 21"/>
    <w:basedOn w:val="1"/>
    <w:qFormat/>
    <w:uiPriority w:val="34"/>
    <w:pPr>
      <w:overflowPunct/>
      <w:autoSpaceDE/>
      <w:autoSpaceDN/>
      <w:adjustRightInd/>
      <w:spacing w:after="0"/>
      <w:ind w:left="720"/>
      <w:textAlignment w:val="auto"/>
    </w:pPr>
    <w:rPr>
      <w:rFonts w:eastAsia="Times New Roman"/>
      <w:sz w:val="24"/>
      <w:szCs w:val="24"/>
      <w:lang w:eastAsia="en-US"/>
    </w:rPr>
  </w:style>
  <w:style w:type="character" w:customStyle="1" w:styleId="37">
    <w:name w:val="列表段落 字符"/>
    <w:link w:val="33"/>
    <w:qFormat/>
    <w:uiPriority w:val="34"/>
    <w:rPr>
      <w:snapToGrid w:val="0"/>
      <w:sz w:val="21"/>
      <w:szCs w:val="21"/>
    </w:rPr>
  </w:style>
  <w:style w:type="character" w:customStyle="1" w:styleId="38">
    <w:name w:val="标题 1 字符"/>
    <w:basedOn w:val="16"/>
    <w:link w:val="2"/>
    <w:qFormat/>
    <w:uiPriority w:val="0"/>
    <w:rPr>
      <w:rFonts w:ascii="Arial" w:hAnsi="Arial" w:eastAsia="黑体"/>
      <w:b/>
      <w:sz w:val="32"/>
      <w:szCs w:val="32"/>
    </w:rPr>
  </w:style>
  <w:style w:type="paragraph" w:customStyle="1" w:styleId="39">
    <w:name w:val="Reference"/>
    <w:basedOn w:val="7"/>
    <w:link w:val="40"/>
    <w:qFormat/>
    <w:uiPriority w:val="0"/>
    <w:pPr>
      <w:widowControl w:val="0"/>
      <w:numPr>
        <w:ilvl w:val="0"/>
        <w:numId w:val="3"/>
      </w:numPr>
      <w:overflowPunct/>
      <w:autoSpaceDE/>
      <w:autoSpaceDN/>
      <w:adjustRightInd/>
      <w:spacing w:line="240" w:lineRule="auto"/>
      <w:textAlignment w:val="auto"/>
    </w:pPr>
    <w:rPr>
      <w:rFonts w:ascii="Arial" w:hAnsi="Arial" w:eastAsia="等线"/>
      <w:kern w:val="2"/>
      <w:sz w:val="21"/>
      <w:szCs w:val="22"/>
    </w:rPr>
  </w:style>
  <w:style w:type="character" w:customStyle="1" w:styleId="40">
    <w:name w:val="Reference Char"/>
    <w:link w:val="39"/>
    <w:qFormat/>
    <w:uiPriority w:val="0"/>
    <w:rPr>
      <w:rFonts w:ascii="Arial" w:hAnsi="Arial" w:eastAsia="等线"/>
      <w:kern w:val="2"/>
      <w:sz w:val="21"/>
      <w:szCs w:val="22"/>
    </w:rPr>
  </w:style>
  <w:style w:type="paragraph" w:customStyle="1" w:styleId="41">
    <w:name w:val="标题3"/>
    <w:basedOn w:val="12"/>
    <w:link w:val="42"/>
    <w:qFormat/>
    <w:uiPriority w:val="0"/>
    <w:pPr>
      <w:numPr>
        <w:ilvl w:val="2"/>
        <w:numId w:val="4"/>
      </w:numPr>
    </w:pPr>
    <w:rPr>
      <w:sz w:val="28"/>
    </w:rPr>
  </w:style>
  <w:style w:type="character" w:customStyle="1" w:styleId="42">
    <w:name w:val="标题3 字符"/>
    <w:basedOn w:val="35"/>
    <w:link w:val="41"/>
    <w:qFormat/>
    <w:uiPriority w:val="0"/>
    <w:rPr>
      <w:rFonts w:ascii="Arial" w:hAnsi="Arial" w:eastAsia="Arial"/>
      <w:sz w:val="28"/>
      <w:lang w:val="de-DE" w:eastAsia="en-US"/>
    </w:rPr>
  </w:style>
  <w:style w:type="character" w:customStyle="1" w:styleId="43">
    <w:name w:val="正文文本 字符"/>
    <w:basedOn w:val="16"/>
    <w:link w:val="7"/>
    <w:semiHidden/>
    <w:qFormat/>
    <w:uiPriority w:val="0"/>
    <w:rPr>
      <w:sz w:val="22"/>
    </w:rPr>
  </w:style>
  <w:style w:type="paragraph" w:customStyle="1" w:styleId="44">
    <w:name w:val="Agreement"/>
    <w:basedOn w:val="1"/>
    <w:next w:val="45"/>
    <w:qFormat/>
    <w:uiPriority w:val="99"/>
    <w:pPr>
      <w:overflowPunct/>
      <w:autoSpaceDE/>
      <w:autoSpaceDN/>
      <w:adjustRightInd/>
      <w:spacing w:before="60" w:after="0" w:line="240" w:lineRule="auto"/>
      <w:jc w:val="left"/>
      <w:textAlignment w:val="auto"/>
    </w:pPr>
    <w:rPr>
      <w:rFonts w:ascii="Arial" w:hAnsi="Arial" w:eastAsia="MS Mincho"/>
      <w:b/>
      <w:sz w:val="20"/>
      <w:szCs w:val="24"/>
      <w:lang w:val="en-GB" w:eastAsia="en-GB"/>
    </w:rPr>
  </w:style>
  <w:style w:type="paragraph" w:customStyle="1" w:styleId="45">
    <w:name w:val="Doc-text2"/>
    <w:basedOn w:val="1"/>
    <w:qFormat/>
    <w:uiPriority w:val="0"/>
    <w:pPr>
      <w:tabs>
        <w:tab w:val="left" w:pos="1622"/>
      </w:tabs>
      <w:spacing w:before="0"/>
      <w:ind w:left="1622" w:hanging="363"/>
    </w:pPr>
  </w:style>
  <w:style w:type="character" w:customStyle="1" w:styleId="46">
    <w:name w:val="题注 字符"/>
    <w:basedOn w:val="16"/>
    <w:link w:val="5"/>
    <w:qFormat/>
    <w:uiPriority w:val="0"/>
    <w:rPr>
      <w:b/>
      <w:bCs/>
      <w:lang w:eastAsia="en-US"/>
    </w:rPr>
  </w:style>
  <w:style w:type="character" w:customStyle="1" w:styleId="47">
    <w:name w:val="列表段落 字符1"/>
    <w:qFormat/>
    <w:locked/>
    <w:uiPriority w:val="34"/>
    <w:rPr>
      <w:sz w:val="22"/>
      <w:szCs w:val="22"/>
    </w:rPr>
  </w:style>
  <w:style w:type="character" w:customStyle="1" w:styleId="48">
    <w:name w:val="批注主题 字符"/>
    <w:basedOn w:val="34"/>
    <w:link w:val="13"/>
    <w:semiHidden/>
    <w:qFormat/>
    <w:uiPriority w:val="0"/>
    <w:rPr>
      <w:b/>
      <w:bCs/>
      <w:sz w:val="22"/>
    </w:rPr>
  </w:style>
  <w:style w:type="paragraph" w:customStyle="1" w:styleId="49">
    <w:name w:val="TAH"/>
    <w:basedOn w:val="1"/>
    <w:link w:val="54"/>
    <w:qFormat/>
    <w:uiPriority w:val="0"/>
    <w:pPr>
      <w:keepNext/>
      <w:keepLines/>
      <w:spacing w:after="0"/>
      <w:jc w:val="center"/>
    </w:pPr>
    <w:rPr>
      <w:rFonts w:ascii="Arial" w:hAnsi="Arial"/>
      <w:b/>
      <w:sz w:val="18"/>
    </w:rPr>
  </w:style>
  <w:style w:type="paragraph" w:customStyle="1" w:styleId="50">
    <w:name w:val="TAL"/>
    <w:basedOn w:val="1"/>
    <w:link w:val="53"/>
    <w:qFormat/>
    <w:uiPriority w:val="0"/>
    <w:pPr>
      <w:keepNext/>
      <w:keepLines/>
      <w:spacing w:after="0"/>
    </w:pPr>
    <w:rPr>
      <w:rFonts w:ascii="Arial" w:hAnsi="Arial"/>
      <w:sz w:val="18"/>
    </w:rPr>
  </w:style>
  <w:style w:type="paragraph" w:customStyle="1" w:styleId="51">
    <w:name w:val="TH"/>
    <w:basedOn w:val="1"/>
    <w:link w:val="55"/>
    <w:qFormat/>
    <w:uiPriority w:val="0"/>
    <w:pPr>
      <w:keepNext/>
      <w:keepLines/>
      <w:spacing w:before="60"/>
      <w:jc w:val="center"/>
    </w:pPr>
    <w:rPr>
      <w:rFonts w:ascii="Arial" w:hAnsi="Arial"/>
      <w:b/>
    </w:rPr>
  </w:style>
  <w:style w:type="paragraph" w:customStyle="1" w:styleId="52">
    <w:name w:val="TAN"/>
    <w:basedOn w:val="50"/>
    <w:link w:val="56"/>
    <w:qFormat/>
    <w:uiPriority w:val="0"/>
    <w:pPr>
      <w:ind w:left="851" w:hanging="851"/>
    </w:pPr>
  </w:style>
  <w:style w:type="character" w:customStyle="1" w:styleId="53">
    <w:name w:val="TAL Char"/>
    <w:link w:val="50"/>
    <w:qFormat/>
    <w:uiPriority w:val="0"/>
    <w:rPr>
      <w:rFonts w:ascii="Arial" w:hAnsi="Arial"/>
      <w:sz w:val="18"/>
    </w:rPr>
  </w:style>
  <w:style w:type="character" w:customStyle="1" w:styleId="54">
    <w:name w:val="TAH Car"/>
    <w:link w:val="49"/>
    <w:qFormat/>
    <w:locked/>
    <w:uiPriority w:val="0"/>
    <w:rPr>
      <w:rFonts w:ascii="Arial" w:hAnsi="Arial"/>
      <w:b/>
      <w:sz w:val="18"/>
    </w:rPr>
  </w:style>
  <w:style w:type="character" w:customStyle="1" w:styleId="55">
    <w:name w:val="TH Char"/>
    <w:link w:val="51"/>
    <w:qFormat/>
    <w:uiPriority w:val="0"/>
    <w:rPr>
      <w:rFonts w:ascii="Arial" w:hAnsi="Arial"/>
      <w:b/>
      <w:sz w:val="22"/>
    </w:rPr>
  </w:style>
  <w:style w:type="character" w:customStyle="1" w:styleId="56">
    <w:name w:val="TAN Char"/>
    <w:link w:val="52"/>
    <w:qFormat/>
    <w:uiPriority w:val="0"/>
    <w:rPr>
      <w:rFonts w:ascii="Arial" w:hAnsi="Arial"/>
      <w:sz w:val="18"/>
    </w:rPr>
  </w:style>
  <w:style w:type="paragraph" w:customStyle="1" w:styleId="57">
    <w:name w:val="Revision"/>
    <w:hidden/>
    <w:semiHidden/>
    <w:qFormat/>
    <w:uiPriority w:val="99"/>
    <w:rPr>
      <w:rFonts w:ascii="Times New Roman" w:hAnsi="Times New Roman" w:eastAsia="宋体" w:cs="Times New Roman"/>
      <w:sz w:val="22"/>
      <w:lang w:val="en-US" w:eastAsia="zh-CN" w:bidi="ar-SA"/>
    </w:rPr>
  </w:style>
  <w:style w:type="paragraph" w:customStyle="1" w:styleId="58">
    <w:name w:val="Proposal-HW"/>
    <w:basedOn w:val="1"/>
    <w:qFormat/>
    <w:uiPriority w:val="0"/>
    <w:pPr>
      <w:ind w:left="1132" w:hanging="1132" w:hangingChars="564"/>
    </w:pPr>
    <w:rPr>
      <w:b/>
      <w:lang w:eastAsia="en-GB"/>
    </w:rPr>
  </w:style>
  <w:style w:type="paragraph" w:customStyle="1" w:styleId="59">
    <w:name w:val="Proposal"/>
    <w:basedOn w:val="7"/>
    <w:qFormat/>
    <w:uiPriority w:val="0"/>
    <w:pPr>
      <w:overflowPunct w:val="0"/>
      <w:autoSpaceDE w:val="0"/>
      <w:autoSpaceDN w:val="0"/>
      <w:adjustRightInd w:val="0"/>
      <w:spacing w:before="100" w:beforeAutospacing="1" w:after="180"/>
      <w:jc w:val="both"/>
    </w:pPr>
    <w:rPr>
      <w:rFonts w:eastAsia="宋体"/>
      <w:lang w:eastAsia="zh-CN"/>
    </w:rPr>
  </w:style>
  <w:style w:type="character" w:customStyle="1" w:styleId="60">
    <w:name w:val="页眉 字符"/>
    <w:basedOn w:val="16"/>
    <w:link w:val="10"/>
    <w:uiPriority w:val="0"/>
    <w:rPr>
      <w:rFonts w:hint="default" w:ascii="Arial" w:hAnsi="Arial" w:eastAsia="MS Mincho" w:cs="Arial"/>
      <w:b/>
      <w:sz w:val="24"/>
      <w:szCs w:val="24"/>
      <w:lang w:val="d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0B997-6F2A-4C86-879C-1EBB9376C237}">
  <ds:schemaRefs/>
</ds:datastoreItem>
</file>

<file path=docProps/app.xml><?xml version="1.0" encoding="utf-8"?>
<Properties xmlns="http://schemas.openxmlformats.org/officeDocument/2006/extended-properties" xmlns:vt="http://schemas.openxmlformats.org/officeDocument/2006/docPropsVTypes">
  <Template>Word 模板</Template>
  <Company>Huawei Technologies Co., Ltd.</Company>
  <Pages>8</Pages>
  <Words>2697</Words>
  <Characters>15375</Characters>
  <Lines>128</Lines>
  <Paragraphs>36</Paragraphs>
  <TotalTime>0</TotalTime>
  <ScaleCrop>false</ScaleCrop>
  <LinksUpToDate>false</LinksUpToDate>
  <CharactersWithSpaces>18036</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2024-03-28T13:30:00Z</dcterms:created>
  <dc:creator>Kuangyiru (Yiru)</dc:creator>
  <cp:lastModifiedBy>HP</cp:lastModifiedBy>
  <dcterms:modified xsi:type="dcterms:W3CDTF">2024-08-09T03:25:27Z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(3)fzvL94S4z2cVUeCf09K4oNs4e6bXLH2dRy1I7YEMUlvILQhXrOcqaR8ajVjUkTwy6+vMP5hV
9xlElIEGHGiPEhqgv3DxRSURfAZJXZi6DCfBy5xGFNYhijAm3GiFMpagR7Pk+XyFtIOith+b
6p60716dnJEa6YtWlyKjtOJ9pDCVxMT3PTKClkw5Zc3wcmp7HTipw9CrNyHY+VcocyQ6mYOg
D2ikKnBaSWvrQJ0Gb6</vt:lpwstr>
  </property>
  <property fmtid="{D5CDD505-2E9C-101B-9397-08002B2CF9AE}" pid="7" name="_2015_ms_pID_7253431">
    <vt:lpwstr>3iBn8JW4OQmhGe9ZWrG0B6DY3M/kgV7B2jFpHgKQjoAB2kqjm9oreq
WLWzsnuj6rbDsPYWVB/eIMrwY9o1hto/+557nFMtrHN5P2v9TLPyam4qccaBALj1+lyhMfqW
XUAWoMXahGN7DApHwEv6rhDVDXtxMW+g4NfDJwVbAC20fwI1ua609b0vf69n3Lot0oKJWixW
2fDAqC5ghovQnDVCr4n7UxoJpwGQdBbH4J5P</vt:lpwstr>
  </property>
  <property fmtid="{D5CDD505-2E9C-101B-9397-08002B2CF9AE}" pid="8" name="_2015_ms_pID_7253432">
    <vt:lpwstr>y1wBRoxrcVH/a7m/3T8E370=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1711333018</vt:lpwstr>
  </property>
  <property fmtid="{D5CDD505-2E9C-101B-9397-08002B2CF9AE}" pid="13" name="KSOProductBuildVer">
    <vt:lpwstr>2052-12.8.2.15091</vt:lpwstr>
  </property>
  <property fmtid="{D5CDD505-2E9C-101B-9397-08002B2CF9AE}" pid="14" name="ICV">
    <vt:lpwstr>2937300F72CB4E168078A22B02ACCF2E_12</vt:lpwstr>
  </property>
</Properties>
</file>